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767A" w14:textId="77777777" w:rsidR="00441AAA" w:rsidRPr="00D61A9C" w:rsidRDefault="00441AAA" w:rsidP="00441AAA">
      <w:pPr>
        <w:jc w:val="center"/>
        <w:rPr>
          <w:b/>
          <w:szCs w:val="18"/>
        </w:rPr>
      </w:pPr>
      <w:r w:rsidRPr="00D61A9C">
        <w:rPr>
          <w:rFonts w:cs="Calibri"/>
          <w:b/>
          <w:bCs/>
          <w:szCs w:val="18"/>
        </w:rPr>
        <w:t>Form A8</w:t>
      </w:r>
      <w:r w:rsidRPr="00D61A9C">
        <w:rPr>
          <w:b/>
          <w:szCs w:val="18"/>
        </w:rPr>
        <w:t xml:space="preserve"> of Schedule </w:t>
      </w:r>
      <w:r>
        <w:rPr>
          <w:b/>
          <w:szCs w:val="18"/>
        </w:rPr>
        <w:t>4</w:t>
      </w:r>
    </w:p>
    <w:p w14:paraId="6486DC57" w14:textId="77777777" w:rsidR="00441AAA" w:rsidRPr="00D61A9C" w:rsidRDefault="00441AAA" w:rsidP="00441AAA">
      <w:pPr>
        <w:jc w:val="center"/>
        <w:rPr>
          <w:rFonts w:cs="Calibri"/>
          <w:b/>
          <w:bCs/>
          <w:szCs w:val="18"/>
        </w:rPr>
      </w:pPr>
      <w:r w:rsidRPr="00D61A9C">
        <w:rPr>
          <w:rFonts w:cs="Calibri"/>
          <w:b/>
          <w:bCs/>
          <w:szCs w:val="18"/>
        </w:rPr>
        <w:t>AMC Fact Sheet</w:t>
      </w:r>
    </w:p>
    <w:p w14:paraId="730F3A53" w14:textId="77777777" w:rsidR="00441AAA" w:rsidRPr="00D61A9C" w:rsidRDefault="00441AAA" w:rsidP="00441AAA">
      <w:pPr>
        <w:rPr>
          <w:szCs w:val="18"/>
        </w:rPr>
      </w:pPr>
      <w:r w:rsidRPr="00D61A9C">
        <w:rPr>
          <w:szCs w:val="18"/>
        </w:rPr>
        <w:t>The fact sheet must, as a minimum, include the following disclosures:</w:t>
      </w:r>
    </w:p>
    <w:p w14:paraId="2A3D837B" w14:textId="728874B4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 w:rsidRPr="00D61A9C">
        <w:rPr>
          <w:szCs w:val="18"/>
        </w:rPr>
        <w:t xml:space="preserve">The </w:t>
      </w:r>
      <w:r>
        <w:rPr>
          <w:szCs w:val="18"/>
        </w:rPr>
        <w:t>applicant issuer</w:t>
      </w:r>
      <w:r w:rsidRPr="00D61A9C">
        <w:rPr>
          <w:szCs w:val="18"/>
        </w:rPr>
        <w:t xml:space="preserve"> must state in the factsheet that the placing document or pricing supplement includes the detail</w:t>
      </w:r>
      <w:r>
        <w:rPr>
          <w:szCs w:val="18"/>
        </w:rPr>
        <w:t>ed</w:t>
      </w:r>
      <w:r w:rsidRPr="00D61A9C">
        <w:rPr>
          <w:szCs w:val="18"/>
        </w:rPr>
        <w:t xml:space="preserve"> information on the </w:t>
      </w:r>
      <w:r>
        <w:rPr>
          <w:szCs w:val="18"/>
        </w:rPr>
        <w:t>actively managed certificate (“</w:t>
      </w:r>
      <w:r w:rsidRPr="00441AAA">
        <w:rPr>
          <w:b/>
          <w:bCs/>
          <w:szCs w:val="18"/>
        </w:rPr>
        <w:t>AMC</w:t>
      </w:r>
      <w:r>
        <w:rPr>
          <w:szCs w:val="18"/>
        </w:rPr>
        <w:t>”)</w:t>
      </w:r>
      <w:r w:rsidRPr="00D61A9C">
        <w:rPr>
          <w:szCs w:val="18"/>
        </w:rPr>
        <w:t xml:space="preserve"> and investors must ensure that the factsheet is read in conjunction with the placing document or pricing </w:t>
      </w:r>
      <w:proofErr w:type="gramStart"/>
      <w:r w:rsidRPr="00D61A9C">
        <w:rPr>
          <w:szCs w:val="18"/>
        </w:rPr>
        <w:t>supplement;</w:t>
      </w:r>
      <w:proofErr w:type="gramEnd"/>
    </w:p>
    <w:p w14:paraId="14E9CCF1" w14:textId="5F597AA0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 w:rsidRPr="00D61A9C">
        <w:rPr>
          <w:szCs w:val="18"/>
        </w:rPr>
        <w:t>The total number of AMC</w:t>
      </w:r>
      <w:r>
        <w:rPr>
          <w:szCs w:val="18"/>
        </w:rPr>
        <w:t>s</w:t>
      </w:r>
      <w:r w:rsidRPr="00D61A9C">
        <w:rPr>
          <w:szCs w:val="18"/>
        </w:rPr>
        <w:t xml:space="preserve"> in </w:t>
      </w:r>
      <w:proofErr w:type="gramStart"/>
      <w:r w:rsidRPr="00D61A9C">
        <w:rPr>
          <w:szCs w:val="18"/>
        </w:rPr>
        <w:t>issue;</w:t>
      </w:r>
      <w:proofErr w:type="gramEnd"/>
    </w:p>
    <w:p w14:paraId="6868096C" w14:textId="378F4C31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>
        <w:rPr>
          <w:szCs w:val="18"/>
        </w:rPr>
        <w:t xml:space="preserve">The </w:t>
      </w:r>
      <w:r w:rsidRPr="00D61A9C">
        <w:rPr>
          <w:szCs w:val="18"/>
        </w:rPr>
        <w:t xml:space="preserve">RPV of the </w:t>
      </w:r>
      <w:proofErr w:type="gramStart"/>
      <w:r w:rsidRPr="00D61A9C">
        <w:rPr>
          <w:szCs w:val="18"/>
        </w:rPr>
        <w:t>AMC;</w:t>
      </w:r>
      <w:proofErr w:type="gramEnd"/>
    </w:p>
    <w:p w14:paraId="7A3E6632" w14:textId="58A7F509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>
        <w:rPr>
          <w:szCs w:val="18"/>
        </w:rPr>
        <w:t>The t</w:t>
      </w:r>
      <w:r w:rsidRPr="00D61A9C">
        <w:rPr>
          <w:szCs w:val="18"/>
        </w:rPr>
        <w:t xml:space="preserve">otal cost of the </w:t>
      </w:r>
      <w:proofErr w:type="gramStart"/>
      <w:r>
        <w:rPr>
          <w:szCs w:val="18"/>
        </w:rPr>
        <w:t>AMC</w:t>
      </w:r>
      <w:r w:rsidRPr="00D61A9C">
        <w:rPr>
          <w:szCs w:val="18"/>
        </w:rPr>
        <w:t>;</w:t>
      </w:r>
      <w:proofErr w:type="gramEnd"/>
    </w:p>
    <w:p w14:paraId="46E396EE" w14:textId="45FFFB35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>
        <w:rPr>
          <w:szCs w:val="18"/>
        </w:rPr>
        <w:t xml:space="preserve">The </w:t>
      </w:r>
      <w:r w:rsidRPr="00D61A9C">
        <w:rPr>
          <w:szCs w:val="18"/>
        </w:rPr>
        <w:t xml:space="preserve">Current bid/offer spread applicable, where an agent is appointed, if applicable to the </w:t>
      </w:r>
      <w:proofErr w:type="gramStart"/>
      <w:r>
        <w:rPr>
          <w:szCs w:val="18"/>
        </w:rPr>
        <w:t>AMC</w:t>
      </w:r>
      <w:r w:rsidRPr="00D61A9C">
        <w:rPr>
          <w:szCs w:val="18"/>
        </w:rPr>
        <w:t>;</w:t>
      </w:r>
      <w:proofErr w:type="gramEnd"/>
    </w:p>
    <w:p w14:paraId="24221196" w14:textId="77777777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 w:rsidRPr="00D61A9C">
        <w:rPr>
          <w:szCs w:val="18"/>
        </w:rPr>
        <w:t xml:space="preserve">The top 10 holdings of the </w:t>
      </w:r>
      <w:proofErr w:type="gramStart"/>
      <w:r w:rsidRPr="00D61A9C">
        <w:rPr>
          <w:szCs w:val="18"/>
        </w:rPr>
        <w:t>portfolio;</w:t>
      </w:r>
      <w:proofErr w:type="gramEnd"/>
    </w:p>
    <w:p w14:paraId="4A097B43" w14:textId="2991D750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>
        <w:rPr>
          <w:color w:val="282828"/>
          <w:szCs w:val="18"/>
        </w:rPr>
        <w:t>The p</w:t>
      </w:r>
      <w:r w:rsidRPr="00D61A9C">
        <w:rPr>
          <w:color w:val="282828"/>
          <w:szCs w:val="18"/>
        </w:rPr>
        <w:t xml:space="preserve">erformance of the </w:t>
      </w:r>
      <w:proofErr w:type="gramStart"/>
      <w:r w:rsidRPr="00D61A9C">
        <w:rPr>
          <w:color w:val="282828"/>
          <w:szCs w:val="18"/>
        </w:rPr>
        <w:t>portfolio;</w:t>
      </w:r>
      <w:proofErr w:type="gramEnd"/>
    </w:p>
    <w:p w14:paraId="68CA9606" w14:textId="77777777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 w:rsidRPr="00D61A9C">
        <w:rPr>
          <w:color w:val="282828"/>
          <w:szCs w:val="18"/>
        </w:rPr>
        <w:t xml:space="preserve">Regional </w:t>
      </w:r>
      <w:proofErr w:type="gramStart"/>
      <w:r w:rsidRPr="00D61A9C">
        <w:rPr>
          <w:color w:val="282828"/>
          <w:szCs w:val="18"/>
        </w:rPr>
        <w:t>disclosure;</w:t>
      </w:r>
      <w:proofErr w:type="gramEnd"/>
      <w:r w:rsidRPr="00D61A9C">
        <w:rPr>
          <w:color w:val="282828"/>
          <w:szCs w:val="18"/>
        </w:rPr>
        <w:t xml:space="preserve"> </w:t>
      </w:r>
    </w:p>
    <w:p w14:paraId="3EEA5878" w14:textId="59DA5547" w:rsidR="00441AAA" w:rsidRPr="00D61A9C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 w:rsidRPr="00D61A9C">
        <w:rPr>
          <w:szCs w:val="18"/>
        </w:rPr>
        <w:t xml:space="preserve">Contact name and contact details to obtain additional information from the </w:t>
      </w:r>
      <w:r>
        <w:rPr>
          <w:szCs w:val="18"/>
        </w:rPr>
        <w:t>applicant issuer</w:t>
      </w:r>
      <w:r w:rsidRPr="00D61A9C">
        <w:rPr>
          <w:szCs w:val="18"/>
        </w:rPr>
        <w:t xml:space="preserve"> regarding the AMC</w:t>
      </w:r>
      <w:r>
        <w:rPr>
          <w:szCs w:val="18"/>
        </w:rPr>
        <w:t>; and</w:t>
      </w:r>
    </w:p>
    <w:p w14:paraId="3F50C9D6" w14:textId="6E2EDF33" w:rsidR="00441AAA" w:rsidRDefault="00441AAA" w:rsidP="00441AAA">
      <w:pPr>
        <w:pStyle w:val="ListParagraph"/>
        <w:widowControl/>
        <w:numPr>
          <w:ilvl w:val="0"/>
          <w:numId w:val="1"/>
        </w:numPr>
        <w:spacing w:before="0" w:line="312" w:lineRule="auto"/>
        <w:ind w:left="1080" w:hanging="720"/>
        <w:rPr>
          <w:szCs w:val="18"/>
        </w:rPr>
      </w:pPr>
      <w:r>
        <w:rPr>
          <w:szCs w:val="18"/>
        </w:rPr>
        <w:t>The r</w:t>
      </w:r>
      <w:r w:rsidRPr="00D61A9C">
        <w:rPr>
          <w:szCs w:val="18"/>
        </w:rPr>
        <w:t>isk profile of the portfolio</w:t>
      </w:r>
      <w:r>
        <w:rPr>
          <w:szCs w:val="18"/>
        </w:rPr>
        <w:t>.</w:t>
      </w:r>
    </w:p>
    <w:p w14:paraId="14B34D9E" w14:textId="77777777" w:rsidR="0014081F" w:rsidRDefault="0014081F"/>
    <w:sectPr w:rsidR="0014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6F74"/>
    <w:multiLevelType w:val="hybridMultilevel"/>
    <w:tmpl w:val="01CA1F70"/>
    <w:lvl w:ilvl="0" w:tplc="8C80A5B0">
      <w:start w:val="1"/>
      <w:numFmt w:val="decimal"/>
      <w:lvlText w:val="%1"/>
      <w:lvlJc w:val="left"/>
      <w:rPr>
        <w:rFonts w:ascii="Verdana" w:eastAsia="Times New Roman" w:hAnsi="Verdana" w:cs="Times New Roman"/>
        <w:sz w:val="2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9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AA"/>
    <w:rsid w:val="000F0BA2"/>
    <w:rsid w:val="0014081F"/>
    <w:rsid w:val="004409CC"/>
    <w:rsid w:val="00441AAA"/>
    <w:rsid w:val="00CB45B5"/>
    <w:rsid w:val="00D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B6B0"/>
  <w15:chartTrackingRefBased/>
  <w15:docId w15:val="{E3F191BE-9898-40FF-B2E0-F16A8512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AA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Prelini Moonsamy</dc:creator>
  <cp:keywords/>
  <dc:description/>
  <cp:lastModifiedBy>Prelini Moonsamy</cp:lastModifiedBy>
  <cp:revision>1</cp:revision>
  <dcterms:created xsi:type="dcterms:W3CDTF">2024-11-03T20:29:00Z</dcterms:created>
  <dcterms:modified xsi:type="dcterms:W3CDTF">2024-11-03T20:31:00Z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2024-11-03T20:31:10Z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34ea3a05-9141-4fa5-84f9-f21f3b42baf7</vt:lpwstr>
  </property>
  <property fmtid="{D5CDD505-2E9C-101B-9397-08002B2CF9AE}" pid="8" name="MSIP_Label_ce93fc94-2a04-4870-acee-9c0cd4b7d590_ContentBits">
    <vt:lpwstr>0</vt:lpwstr>
  </property>
</Properties>
</file>