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4E4E" w14:textId="233759FE" w:rsidR="00206233" w:rsidRDefault="00C5537C" w:rsidP="00206233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ACTIVELY MANAGED CERTIFICATES</w:t>
      </w:r>
      <w:r w:rsidR="00206233">
        <w:rPr>
          <w:b/>
          <w:color w:val="000000"/>
          <w:sz w:val="18"/>
          <w:szCs w:val="18"/>
        </w:rPr>
        <w:t xml:space="preserve"> – CHECKLIST</w:t>
      </w:r>
    </w:p>
    <w:p w14:paraId="305CFA7A" w14:textId="77777777" w:rsidR="00206233" w:rsidRDefault="00206233" w:rsidP="00206233">
      <w:pPr>
        <w:jc w:val="center"/>
        <w:rPr>
          <w:b/>
          <w:color w:val="000000"/>
          <w:sz w:val="18"/>
          <w:szCs w:val="18"/>
        </w:rPr>
      </w:pPr>
    </w:p>
    <w:p w14:paraId="7A01E2C6" w14:textId="77777777" w:rsidR="00206233" w:rsidRDefault="00206233" w:rsidP="00206233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CLIENT:</w:t>
      </w:r>
      <w:r>
        <w:rPr>
          <w:color w:val="000000"/>
          <w:sz w:val="18"/>
          <w:szCs w:val="18"/>
        </w:rPr>
        <w:t xml:space="preserve"> </w:t>
      </w:r>
    </w:p>
    <w:p w14:paraId="3565B892" w14:textId="77777777" w:rsidR="00206233" w:rsidRDefault="00206233" w:rsidP="00206233">
      <w:pP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JSE REFERENCE</w:t>
      </w:r>
      <w:r>
        <w:rPr>
          <w:color w:val="000000"/>
          <w:sz w:val="18"/>
          <w:szCs w:val="18"/>
        </w:rPr>
        <w:t xml:space="preserve">: </w:t>
      </w:r>
    </w:p>
    <w:p w14:paraId="1A668F95" w14:textId="77777777" w:rsidR="00206233" w:rsidRDefault="00206233" w:rsidP="00206233">
      <w:pPr>
        <w:rPr>
          <w:color w:val="000000"/>
          <w:sz w:val="18"/>
          <w:szCs w:val="18"/>
        </w:rPr>
      </w:pPr>
    </w:p>
    <w:p w14:paraId="6B9F1919" w14:textId="77777777" w:rsidR="00206233" w:rsidRDefault="00206233" w:rsidP="00206233">
      <w:pPr>
        <w:rPr>
          <w:color w:val="000000"/>
        </w:rPr>
      </w:pPr>
      <w:r>
        <w:rPr>
          <w:color w:val="000000"/>
        </w:rPr>
        <w:t>This documentation will be subject to the turnaround times as stipulated in paragraph 16.3 in the Listings Requirements.</w:t>
      </w:r>
    </w:p>
    <w:p w14:paraId="5192C958" w14:textId="77777777" w:rsidR="00206233" w:rsidRDefault="00206233" w:rsidP="00206233">
      <w:pPr>
        <w:rPr>
          <w:color w:val="000000"/>
          <w:sz w:val="18"/>
          <w:szCs w:val="18"/>
        </w:rPr>
      </w:pPr>
    </w:p>
    <w:p w14:paraId="07431927" w14:textId="77777777" w:rsidR="00206233" w:rsidRDefault="00206233" w:rsidP="00206233">
      <w:pPr>
        <w:pStyle w:val="Heading1"/>
        <w:rPr>
          <w:color w:val="000000"/>
          <w:sz w:val="18"/>
          <w:szCs w:val="18"/>
        </w:rPr>
      </w:pPr>
      <w:r>
        <w:rPr>
          <w:b w:val="0"/>
          <w:bCs w:val="0"/>
          <w:sz w:val="18"/>
          <w:szCs w:val="18"/>
        </w:rPr>
        <w:t>Company name:</w:t>
      </w:r>
      <w:r>
        <w:rPr>
          <w:bCs w:val="0"/>
          <w:sz w:val="18"/>
          <w:szCs w:val="18"/>
        </w:rPr>
        <w:t xml:space="preserve"> </w:t>
      </w:r>
    </w:p>
    <w:p w14:paraId="34289B06" w14:textId="77777777" w:rsidR="00206233" w:rsidRDefault="00206233" w:rsidP="0020623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Round of comments: </w:t>
      </w:r>
    </w:p>
    <w:p w14:paraId="14D01551" w14:textId="77777777" w:rsidR="00206233" w:rsidRDefault="00206233" w:rsidP="00206233">
      <w:pPr>
        <w:rPr>
          <w:b/>
          <w:sz w:val="18"/>
          <w:szCs w:val="18"/>
        </w:rPr>
      </w:pPr>
      <w:r>
        <w:rPr>
          <w:b/>
          <w:sz w:val="18"/>
          <w:szCs w:val="18"/>
        </w:rPr>
        <w:t>Introduction:</w:t>
      </w:r>
    </w:p>
    <w:p w14:paraId="0DCE79A1" w14:textId="77777777" w:rsidR="00206233" w:rsidRDefault="00206233" w:rsidP="00206233">
      <w:pPr>
        <w:rPr>
          <w:b/>
          <w:sz w:val="18"/>
          <w:szCs w:val="18"/>
        </w:rPr>
      </w:pPr>
    </w:p>
    <w:p w14:paraId="451CC79E" w14:textId="77777777" w:rsidR="00206233" w:rsidRDefault="00206233" w:rsidP="00206233">
      <w:pPr>
        <w:jc w:val="both"/>
        <w:rPr>
          <w:sz w:val="18"/>
          <w:szCs w:val="18"/>
        </w:rPr>
      </w:pPr>
      <w:r>
        <w:rPr>
          <w:sz w:val="18"/>
          <w:szCs w:val="18"/>
        </w:rPr>
        <w:t>My comments are given in the following ways</w:t>
      </w:r>
    </w:p>
    <w:p w14:paraId="7C22BFBA" w14:textId="77777777" w:rsidR="00206233" w:rsidRDefault="00206233" w:rsidP="00206233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Under the heading “Principle issues and general comments” I will list all the principle issues you did not comply with as well as the general comments.</w:t>
      </w:r>
    </w:p>
    <w:p w14:paraId="5C223FC6" w14:textId="77777777" w:rsidR="00206233" w:rsidRDefault="00206233" w:rsidP="00206233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The checklist details all the requirements for the specific transaction.  Comments on the checklist means the following:</w:t>
      </w:r>
    </w:p>
    <w:p w14:paraId="28F57CDA" w14:textId="77777777" w:rsidR="00206233" w:rsidRDefault="00206233" w:rsidP="00206233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“Please note” – means that you don’t need to comply with the requirement. NB: the issuer may be required to comply with the requirement at a later stage, e.g. those sections that will be required in the Final pricing supplement.</w:t>
      </w:r>
    </w:p>
    <w:p w14:paraId="6CC37C94" w14:textId="77777777" w:rsidR="00206233" w:rsidRDefault="00206233" w:rsidP="00206233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“N/A” means that you do not have to comply with that specific requirement in this circular.</w:t>
      </w:r>
    </w:p>
    <w:p w14:paraId="228F1B40" w14:textId="77777777" w:rsidR="00206233" w:rsidRDefault="00206233" w:rsidP="00206233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“</w:t>
      </w:r>
      <w:r>
        <w:rPr>
          <w:sz w:val="18"/>
          <w:szCs w:val="18"/>
        </w:rPr>
        <w:sym w:font="Symbol" w:char="F0D6"/>
      </w:r>
      <w:r>
        <w:rPr>
          <w:sz w:val="18"/>
          <w:szCs w:val="18"/>
        </w:rPr>
        <w:t>” means that the requirements has been complied with to the JSE’s satisfaction</w:t>
      </w:r>
    </w:p>
    <w:p w14:paraId="671525DD" w14:textId="77777777" w:rsidR="00206233" w:rsidRDefault="00206233" w:rsidP="00206233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“Blank” means that you still have to comply with the specific requirement or advise that it is N/A. </w:t>
      </w:r>
    </w:p>
    <w:p w14:paraId="315A714B" w14:textId="77777777" w:rsidR="00206233" w:rsidRDefault="00206233" w:rsidP="00206233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OS = Outstanding</w:t>
      </w:r>
    </w:p>
    <w:p w14:paraId="75B91433" w14:textId="77777777" w:rsidR="00206233" w:rsidRDefault="00206233" w:rsidP="00206233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Any other comment on the checklist will be of a more specific nature.</w:t>
      </w:r>
    </w:p>
    <w:p w14:paraId="5848CD14" w14:textId="77777777" w:rsidR="00206233" w:rsidRDefault="00206233" w:rsidP="00206233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“Confirmed n/a” – Means that the advisors have confirmed this item to be not applicable.</w:t>
      </w:r>
    </w:p>
    <w:p w14:paraId="7BF06F79" w14:textId="77777777" w:rsidR="00206233" w:rsidRDefault="00206233" w:rsidP="00206233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Under the heading “Outstanding Documents” you will find details of documents that was not submitted.</w:t>
      </w:r>
    </w:p>
    <w:p w14:paraId="51F174C9" w14:textId="77777777" w:rsidR="00206233" w:rsidRDefault="00206233" w:rsidP="00206233">
      <w:pPr>
        <w:ind w:left="360"/>
        <w:rPr>
          <w:sz w:val="18"/>
          <w:szCs w:val="18"/>
        </w:rPr>
      </w:pPr>
    </w:p>
    <w:p w14:paraId="371A185D" w14:textId="77777777" w:rsidR="00206233" w:rsidRDefault="00206233" w:rsidP="00206233">
      <w:pPr>
        <w:rPr>
          <w:sz w:val="18"/>
          <w:szCs w:val="18"/>
        </w:rPr>
      </w:pPr>
      <w:r>
        <w:rPr>
          <w:sz w:val="18"/>
          <w:szCs w:val="18"/>
        </w:rPr>
        <w:t xml:space="preserve">Please don’t hesitate to call me if something is not clear. </w:t>
      </w:r>
    </w:p>
    <w:p w14:paraId="7F257D5A" w14:textId="77777777" w:rsidR="00206233" w:rsidRDefault="00206233" w:rsidP="00206233">
      <w:pPr>
        <w:rPr>
          <w:sz w:val="18"/>
          <w:szCs w:val="18"/>
        </w:rPr>
      </w:pPr>
    </w:p>
    <w:p w14:paraId="5C46D02B" w14:textId="77777777" w:rsidR="00206233" w:rsidRDefault="00206233" w:rsidP="0020623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CFO: </w:t>
      </w:r>
    </w:p>
    <w:p w14:paraId="23ACDFCF" w14:textId="77777777" w:rsidR="00206233" w:rsidRDefault="00206233" w:rsidP="0020623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Tel: 011 520 </w:t>
      </w:r>
      <w:proofErr w:type="spellStart"/>
      <w:r>
        <w:rPr>
          <w:b/>
          <w:sz w:val="18"/>
          <w:szCs w:val="18"/>
        </w:rPr>
        <w:t>xxxx</w:t>
      </w:r>
      <w:proofErr w:type="spellEnd"/>
    </w:p>
    <w:p w14:paraId="3A12C80A" w14:textId="77777777" w:rsidR="00206233" w:rsidRDefault="00206233" w:rsidP="00206233">
      <w:pPr>
        <w:rPr>
          <w:b/>
          <w:sz w:val="18"/>
          <w:szCs w:val="18"/>
        </w:rPr>
      </w:pPr>
    </w:p>
    <w:p w14:paraId="7D90F82D" w14:textId="77777777" w:rsidR="00206233" w:rsidRDefault="00206233" w:rsidP="00206233">
      <w:pPr>
        <w:rPr>
          <w:sz w:val="18"/>
          <w:szCs w:val="18"/>
        </w:rPr>
      </w:pPr>
    </w:p>
    <w:p w14:paraId="3D8DE0AA" w14:textId="77777777" w:rsidR="00206233" w:rsidRDefault="00206233" w:rsidP="00206233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General comments and principle issues:</w:t>
      </w:r>
    </w:p>
    <w:p w14:paraId="06F0BF97" w14:textId="77777777" w:rsidR="00BE7473" w:rsidRDefault="00BE7473" w:rsidP="00035935"/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936"/>
        <w:gridCol w:w="2522"/>
        <w:gridCol w:w="2014"/>
        <w:gridCol w:w="1716"/>
      </w:tblGrid>
      <w:tr w:rsidR="00F86AC1" w:rsidRPr="00400833" w14:paraId="38FE66AE" w14:textId="77777777" w:rsidTr="00F86AC1">
        <w:tc>
          <w:tcPr>
            <w:tcW w:w="3936" w:type="dxa"/>
          </w:tcPr>
          <w:p w14:paraId="5CF2B18F" w14:textId="77777777" w:rsidR="00F86AC1" w:rsidRPr="00400833" w:rsidRDefault="00F86AC1" w:rsidP="008947E9">
            <w:pPr>
              <w:rPr>
                <w:rFonts w:asciiTheme="minorHAnsi" w:hAnsiTheme="minorHAnsi"/>
                <w:b/>
                <w:sz w:val="24"/>
              </w:rPr>
            </w:pPr>
            <w:r w:rsidRPr="00400833">
              <w:rPr>
                <w:rFonts w:asciiTheme="minorHAnsi" w:hAnsiTheme="minorHAnsi"/>
                <w:b/>
                <w:sz w:val="24"/>
              </w:rPr>
              <w:t xml:space="preserve">JSE </w:t>
            </w:r>
            <w:r>
              <w:rPr>
                <w:rFonts w:asciiTheme="minorHAnsi" w:hAnsiTheme="minorHAnsi"/>
                <w:b/>
                <w:sz w:val="24"/>
              </w:rPr>
              <w:t xml:space="preserve">Section 19 </w:t>
            </w:r>
            <w:r w:rsidRPr="00400833">
              <w:rPr>
                <w:rFonts w:asciiTheme="minorHAnsi" w:hAnsiTheme="minorHAnsi"/>
                <w:b/>
                <w:sz w:val="24"/>
              </w:rPr>
              <w:t xml:space="preserve">Listings Requirement </w:t>
            </w:r>
          </w:p>
        </w:tc>
        <w:tc>
          <w:tcPr>
            <w:tcW w:w="2522" w:type="dxa"/>
          </w:tcPr>
          <w:p w14:paraId="6592B382" w14:textId="77777777" w:rsidR="00F86AC1" w:rsidRPr="00400833" w:rsidRDefault="00F86AC1" w:rsidP="008947E9">
            <w:pPr>
              <w:rPr>
                <w:rFonts w:asciiTheme="minorHAnsi" w:hAnsiTheme="minorHAnsi"/>
                <w:b/>
                <w:sz w:val="24"/>
              </w:rPr>
            </w:pPr>
            <w:r w:rsidRPr="00400833">
              <w:rPr>
                <w:rFonts w:asciiTheme="minorHAnsi" w:hAnsiTheme="minorHAnsi"/>
                <w:b/>
                <w:sz w:val="24"/>
              </w:rPr>
              <w:t>Sponsor’s 1</w:t>
            </w:r>
            <w:r w:rsidRPr="00400833">
              <w:rPr>
                <w:rFonts w:asciiTheme="minorHAnsi" w:hAnsiTheme="minorHAnsi"/>
                <w:b/>
                <w:sz w:val="24"/>
                <w:vertAlign w:val="superscript"/>
              </w:rPr>
              <w:t>st</w:t>
            </w:r>
            <w:r w:rsidRPr="00400833">
              <w:rPr>
                <w:rFonts w:asciiTheme="minorHAnsi" w:hAnsiTheme="minorHAnsi"/>
                <w:b/>
                <w:sz w:val="24"/>
              </w:rPr>
              <w:t xml:space="preserve"> Comment</w:t>
            </w:r>
          </w:p>
        </w:tc>
        <w:tc>
          <w:tcPr>
            <w:tcW w:w="2014" w:type="dxa"/>
          </w:tcPr>
          <w:p w14:paraId="47FD6608" w14:textId="77777777" w:rsidR="00F86AC1" w:rsidRPr="00400833" w:rsidRDefault="00F86AC1" w:rsidP="008947E9">
            <w:pPr>
              <w:rPr>
                <w:rFonts w:asciiTheme="minorHAnsi" w:hAnsiTheme="minorHAnsi"/>
                <w:b/>
                <w:sz w:val="24"/>
              </w:rPr>
            </w:pPr>
            <w:r w:rsidRPr="00400833">
              <w:rPr>
                <w:rFonts w:asciiTheme="minorHAnsi" w:hAnsiTheme="minorHAnsi"/>
                <w:b/>
                <w:sz w:val="24"/>
              </w:rPr>
              <w:t>JSE Comments</w:t>
            </w:r>
          </w:p>
        </w:tc>
        <w:tc>
          <w:tcPr>
            <w:tcW w:w="1716" w:type="dxa"/>
          </w:tcPr>
          <w:p w14:paraId="5F4018A5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  <w:r w:rsidRPr="00400833">
              <w:rPr>
                <w:rFonts w:asciiTheme="minorHAnsi" w:hAnsiTheme="minorHAnsi"/>
                <w:b/>
                <w:sz w:val="24"/>
              </w:rPr>
              <w:t>JSE 2</w:t>
            </w:r>
            <w:r w:rsidRPr="00400833">
              <w:rPr>
                <w:rFonts w:asciiTheme="minorHAnsi" w:hAnsiTheme="minorHAnsi"/>
                <w:b/>
                <w:sz w:val="24"/>
                <w:vertAlign w:val="superscript"/>
              </w:rPr>
              <w:t>nd</w:t>
            </w:r>
            <w:r w:rsidRPr="00400833">
              <w:rPr>
                <w:rFonts w:asciiTheme="minorHAnsi" w:hAnsiTheme="minorHAnsi"/>
                <w:b/>
                <w:sz w:val="24"/>
              </w:rPr>
              <w:t xml:space="preserve"> Comments</w:t>
            </w:r>
          </w:p>
        </w:tc>
      </w:tr>
      <w:tr w:rsidR="00F86AC1" w:rsidRPr="00400833" w14:paraId="18D20611" w14:textId="77777777" w:rsidTr="00F86AC1">
        <w:tc>
          <w:tcPr>
            <w:tcW w:w="3936" w:type="dxa"/>
            <w:shd w:val="clear" w:color="auto" w:fill="BFBFBF" w:themeFill="background1" w:themeFillShade="BF"/>
          </w:tcPr>
          <w:p w14:paraId="52E5E828" w14:textId="552B0E58" w:rsidR="00F86AC1" w:rsidRPr="00400833" w:rsidRDefault="00C5537C" w:rsidP="008947E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General </w:t>
            </w:r>
          </w:p>
        </w:tc>
        <w:tc>
          <w:tcPr>
            <w:tcW w:w="2522" w:type="dxa"/>
            <w:shd w:val="clear" w:color="auto" w:fill="BFBFBF" w:themeFill="background1" w:themeFillShade="BF"/>
          </w:tcPr>
          <w:p w14:paraId="59082098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BFBFBF" w:themeFill="background1" w:themeFillShade="BF"/>
          </w:tcPr>
          <w:p w14:paraId="27D74DCC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BFBFBF" w:themeFill="background1" w:themeFillShade="BF"/>
          </w:tcPr>
          <w:p w14:paraId="09D05824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5294F9A3" w14:textId="77777777" w:rsidTr="00F86AC1">
        <w:tc>
          <w:tcPr>
            <w:tcW w:w="3936" w:type="dxa"/>
          </w:tcPr>
          <w:p w14:paraId="0F9E692C" w14:textId="77777777" w:rsidR="00C5537C" w:rsidRPr="00C5537C" w:rsidRDefault="00F86AC1" w:rsidP="00C5537C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400833">
              <w:rPr>
                <w:rFonts w:asciiTheme="minorHAnsi" w:hAnsiTheme="minorHAnsi"/>
                <w:szCs w:val="20"/>
              </w:rPr>
              <w:t>19.1</w:t>
            </w:r>
            <w:r w:rsidR="00C5537C">
              <w:rPr>
                <w:rFonts w:asciiTheme="minorHAnsi" w:hAnsiTheme="minorHAnsi"/>
                <w:szCs w:val="20"/>
              </w:rPr>
              <w:t xml:space="preserve">05 </w:t>
            </w:r>
            <w:r w:rsidR="00C5537C" w:rsidRPr="00C5537C">
              <w:rPr>
                <w:rFonts w:asciiTheme="minorHAnsi" w:hAnsiTheme="minorHAnsi"/>
                <w:szCs w:val="20"/>
              </w:rPr>
              <w:t>AMC provides exposure to the performance of an underlying portfolio of assets. The portfolio is</w:t>
            </w:r>
          </w:p>
          <w:p w14:paraId="4B35709C" w14:textId="77777777" w:rsidR="00C5537C" w:rsidRPr="00C5537C" w:rsidRDefault="00C5537C" w:rsidP="00C5537C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C5537C">
              <w:rPr>
                <w:rFonts w:asciiTheme="minorHAnsi" w:hAnsiTheme="minorHAnsi"/>
                <w:szCs w:val="20"/>
              </w:rPr>
              <w:t>discretionarily managed by a portfolio manager based on a specific investment mandate. The</w:t>
            </w:r>
          </w:p>
          <w:p w14:paraId="5C2DF047" w14:textId="77777777" w:rsidR="00C5537C" w:rsidRPr="00C5537C" w:rsidRDefault="00C5537C" w:rsidP="00C5537C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C5537C">
              <w:rPr>
                <w:rFonts w:asciiTheme="minorHAnsi" w:hAnsiTheme="minorHAnsi"/>
                <w:szCs w:val="20"/>
              </w:rPr>
              <w:t>investment mandate should be limited to investments in assets acceptable to the JSE and the</w:t>
            </w:r>
          </w:p>
          <w:p w14:paraId="6967CB4D" w14:textId="77777777" w:rsidR="00C5537C" w:rsidRPr="00C5537C" w:rsidRDefault="00C5537C" w:rsidP="00C5537C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C5537C">
              <w:rPr>
                <w:rFonts w:asciiTheme="minorHAnsi" w:hAnsiTheme="minorHAnsi"/>
                <w:szCs w:val="20"/>
              </w:rPr>
              <w:lastRenderedPageBreak/>
              <w:t>underlying assets must be sufficiently liquid for proper price formation.</w:t>
            </w:r>
          </w:p>
          <w:p w14:paraId="4C3F7B5D" w14:textId="4DEF3E4F" w:rsidR="00F86AC1" w:rsidRPr="00400833" w:rsidRDefault="00C5537C" w:rsidP="00C5537C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C5537C">
              <w:rPr>
                <w:rFonts w:asciiTheme="minorHAnsi" w:hAnsiTheme="minorHAnsi"/>
                <w:szCs w:val="20"/>
              </w:rPr>
              <w:t>The following assets are deemed acceptable to the JSE:</w:t>
            </w:r>
          </w:p>
        </w:tc>
        <w:tc>
          <w:tcPr>
            <w:tcW w:w="2522" w:type="dxa"/>
          </w:tcPr>
          <w:p w14:paraId="3A6C79AD" w14:textId="77777777" w:rsidR="00F86AC1" w:rsidRPr="00400833" w:rsidRDefault="00F86AC1" w:rsidP="008947E9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14:paraId="6E84A1FC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71472CF7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25C54C7F" w14:textId="77777777" w:rsidTr="00F86AC1">
        <w:tc>
          <w:tcPr>
            <w:tcW w:w="3936" w:type="dxa"/>
          </w:tcPr>
          <w:p w14:paraId="3839D06F" w14:textId="3195B4BC" w:rsidR="00F86AC1" w:rsidRPr="00C5537C" w:rsidRDefault="00C5537C" w:rsidP="00F86AC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C5537C">
              <w:rPr>
                <w:rFonts w:asciiTheme="minorHAnsi" w:eastAsiaTheme="minorHAnsi" w:hAnsiTheme="minorHAnsi" w:cstheme="minorHAnsi"/>
                <w:sz w:val="20"/>
                <w:szCs w:val="20"/>
              </w:rPr>
              <w:t>Securities, as defined in the FMA, listed on a recognised exchange;</w:t>
            </w:r>
          </w:p>
        </w:tc>
        <w:tc>
          <w:tcPr>
            <w:tcW w:w="2522" w:type="dxa"/>
          </w:tcPr>
          <w:p w14:paraId="1CFE1395" w14:textId="77777777" w:rsidR="00F86AC1" w:rsidRPr="00400833" w:rsidRDefault="00F86AC1" w:rsidP="008947E9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14:paraId="5A420C20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32D80F07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409AB8D3" w14:textId="77777777" w:rsidTr="00F86AC1">
        <w:tc>
          <w:tcPr>
            <w:tcW w:w="3936" w:type="dxa"/>
          </w:tcPr>
          <w:p w14:paraId="1D146C85" w14:textId="0D3A52C8" w:rsidR="00F86AC1" w:rsidRPr="00216794" w:rsidRDefault="00216794" w:rsidP="00216794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b)</w:t>
            </w:r>
            <w:r w:rsidRPr="00216794">
              <w:rPr>
                <w:rFonts w:asciiTheme="minorHAnsi" w:hAnsiTheme="minorHAnsi"/>
                <w:szCs w:val="20"/>
              </w:rPr>
              <w:t xml:space="preserve"> derivatives</w:t>
            </w:r>
            <w:r w:rsidRPr="00216794">
              <w:rPr>
                <w:rFonts w:asciiTheme="minorHAnsi" w:hAnsiTheme="minorHAnsi"/>
                <w:szCs w:val="20"/>
              </w:rPr>
              <w:t xml:space="preserve"> on listed securities (excluding derivatives on commodities and </w:t>
            </w:r>
            <w:proofErr w:type="gramStart"/>
            <w:r w:rsidRPr="00216794">
              <w:rPr>
                <w:rFonts w:asciiTheme="minorHAnsi" w:hAnsiTheme="minorHAnsi"/>
                <w:szCs w:val="20"/>
              </w:rPr>
              <w:t>currencies)However</w:t>
            </w:r>
            <w:proofErr w:type="gramEnd"/>
            <w:r w:rsidRPr="00216794">
              <w:rPr>
                <w:rFonts w:asciiTheme="minorHAnsi" w:hAnsiTheme="minorHAnsi"/>
                <w:szCs w:val="20"/>
              </w:rPr>
              <w:t>, the effective exposure of derivatives must be limited to 10% of the total market</w:t>
            </w:r>
            <w:r w:rsidRPr="00216794">
              <w:rPr>
                <w:rFonts w:asciiTheme="minorHAnsi" w:hAnsiTheme="minorHAnsi"/>
                <w:szCs w:val="20"/>
              </w:rPr>
              <w:t xml:space="preserve"> </w:t>
            </w:r>
            <w:r w:rsidRPr="00216794">
              <w:rPr>
                <w:rFonts w:asciiTheme="minorHAnsi" w:hAnsiTheme="minorHAnsi"/>
                <w:szCs w:val="20"/>
              </w:rPr>
              <w:t>value of the portfolio and only used for efficient portfolio management purposes;</w:t>
            </w:r>
          </w:p>
        </w:tc>
        <w:tc>
          <w:tcPr>
            <w:tcW w:w="2522" w:type="dxa"/>
          </w:tcPr>
          <w:p w14:paraId="3393EFA0" w14:textId="77777777" w:rsidR="00F86AC1" w:rsidRPr="00400833" w:rsidRDefault="00F86AC1" w:rsidP="008947E9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14:paraId="4D5CA7A3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7698023C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055EDBB8" w14:textId="77777777" w:rsidTr="00F86AC1">
        <w:tc>
          <w:tcPr>
            <w:tcW w:w="3936" w:type="dxa"/>
          </w:tcPr>
          <w:p w14:paraId="0AB14867" w14:textId="5F9588F4" w:rsidR="00F86AC1" w:rsidRPr="00216794" w:rsidRDefault="00216794" w:rsidP="00216794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c)</w:t>
            </w:r>
            <w:r>
              <w:t xml:space="preserve"> </w:t>
            </w:r>
            <w:r w:rsidRPr="00216794">
              <w:rPr>
                <w:rFonts w:asciiTheme="minorHAnsi" w:hAnsiTheme="minorHAnsi"/>
                <w:szCs w:val="20"/>
              </w:rPr>
              <w:t>commodities of which trading prices are readily and publicly available;</w:t>
            </w:r>
          </w:p>
        </w:tc>
        <w:tc>
          <w:tcPr>
            <w:tcW w:w="2522" w:type="dxa"/>
          </w:tcPr>
          <w:p w14:paraId="4E335169" w14:textId="77777777" w:rsidR="00F86AC1" w:rsidRPr="00400833" w:rsidRDefault="00F86AC1" w:rsidP="008947E9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14:paraId="21C7199D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6E2E6829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216794" w:rsidRPr="00400833" w14:paraId="3A1A1049" w14:textId="77777777" w:rsidTr="00F86AC1">
        <w:tc>
          <w:tcPr>
            <w:tcW w:w="3936" w:type="dxa"/>
          </w:tcPr>
          <w:p w14:paraId="7650EB66" w14:textId="5B55A649" w:rsidR="00216794" w:rsidRDefault="00216794" w:rsidP="00216794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d)</w:t>
            </w:r>
            <w:r>
              <w:t xml:space="preserve"> </w:t>
            </w:r>
            <w:r w:rsidRPr="00216794">
              <w:rPr>
                <w:rFonts w:asciiTheme="minorHAnsi" w:hAnsiTheme="minorHAnsi"/>
                <w:szCs w:val="20"/>
              </w:rPr>
              <w:t>currencies of which trading prices are readily and publicly available; and</w:t>
            </w:r>
          </w:p>
        </w:tc>
        <w:tc>
          <w:tcPr>
            <w:tcW w:w="2522" w:type="dxa"/>
          </w:tcPr>
          <w:p w14:paraId="19638D83" w14:textId="77777777" w:rsidR="00216794" w:rsidRPr="00400833" w:rsidRDefault="00216794" w:rsidP="008947E9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14:paraId="1B388BF8" w14:textId="77777777" w:rsidR="00216794" w:rsidRPr="00400833" w:rsidRDefault="00216794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635E7778" w14:textId="77777777" w:rsidR="00216794" w:rsidRPr="00400833" w:rsidRDefault="00216794" w:rsidP="008947E9">
            <w:pPr>
              <w:rPr>
                <w:b/>
                <w:sz w:val="16"/>
                <w:szCs w:val="16"/>
              </w:rPr>
            </w:pPr>
          </w:p>
        </w:tc>
      </w:tr>
      <w:tr w:rsidR="00216794" w:rsidRPr="00400833" w14:paraId="1D3A8735" w14:textId="77777777" w:rsidTr="00F86AC1">
        <w:tc>
          <w:tcPr>
            <w:tcW w:w="3936" w:type="dxa"/>
          </w:tcPr>
          <w:p w14:paraId="1BD62AB0" w14:textId="51C6E0E3" w:rsidR="00216794" w:rsidRDefault="00216794" w:rsidP="00216794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e) </w:t>
            </w:r>
            <w:r w:rsidRPr="00216794">
              <w:rPr>
                <w:rFonts w:asciiTheme="minorHAnsi" w:hAnsiTheme="minorHAnsi"/>
                <w:szCs w:val="20"/>
              </w:rPr>
              <w:t>any other asset acceptable to the JSE.</w:t>
            </w:r>
          </w:p>
        </w:tc>
        <w:tc>
          <w:tcPr>
            <w:tcW w:w="2522" w:type="dxa"/>
          </w:tcPr>
          <w:p w14:paraId="023058F0" w14:textId="77777777" w:rsidR="00216794" w:rsidRPr="00400833" w:rsidRDefault="00216794" w:rsidP="008947E9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14:paraId="13D0AF1B" w14:textId="77777777" w:rsidR="00216794" w:rsidRPr="00400833" w:rsidRDefault="00216794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47DA4FF7" w14:textId="77777777" w:rsidR="00216794" w:rsidRPr="00400833" w:rsidRDefault="00216794" w:rsidP="008947E9">
            <w:pPr>
              <w:rPr>
                <w:b/>
                <w:sz w:val="16"/>
                <w:szCs w:val="16"/>
              </w:rPr>
            </w:pPr>
          </w:p>
        </w:tc>
      </w:tr>
      <w:tr w:rsidR="00732C72" w:rsidRPr="00400833" w14:paraId="400EDF57" w14:textId="77777777" w:rsidTr="00732C72">
        <w:tc>
          <w:tcPr>
            <w:tcW w:w="3936" w:type="dxa"/>
            <w:shd w:val="clear" w:color="auto" w:fill="A6A6A6" w:themeFill="background1" w:themeFillShade="A6"/>
          </w:tcPr>
          <w:p w14:paraId="53B47282" w14:textId="32F84ED9" w:rsidR="00732C72" w:rsidRPr="00732C72" w:rsidRDefault="00732C72" w:rsidP="0021679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Cs w:val="20"/>
              </w:rPr>
            </w:pPr>
            <w:r w:rsidRPr="00732C72">
              <w:rPr>
                <w:rFonts w:asciiTheme="minorHAnsi" w:hAnsiTheme="minorHAnsi"/>
                <w:b/>
                <w:bCs/>
                <w:szCs w:val="20"/>
              </w:rPr>
              <w:t xml:space="preserve">Criteria for AMC </w:t>
            </w:r>
          </w:p>
        </w:tc>
        <w:tc>
          <w:tcPr>
            <w:tcW w:w="2522" w:type="dxa"/>
            <w:shd w:val="clear" w:color="auto" w:fill="A6A6A6" w:themeFill="background1" w:themeFillShade="A6"/>
          </w:tcPr>
          <w:p w14:paraId="4C99BF37" w14:textId="77777777" w:rsidR="00732C72" w:rsidRPr="00732C72" w:rsidRDefault="00732C72" w:rsidP="00894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6A6A6" w:themeFill="background1" w:themeFillShade="A6"/>
          </w:tcPr>
          <w:p w14:paraId="41498097" w14:textId="77777777" w:rsidR="00732C72" w:rsidRPr="00732C72" w:rsidRDefault="00732C72" w:rsidP="00894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6A6A6" w:themeFill="background1" w:themeFillShade="A6"/>
          </w:tcPr>
          <w:p w14:paraId="3BD6F201" w14:textId="77777777" w:rsidR="00732C72" w:rsidRPr="00732C72" w:rsidRDefault="00732C72" w:rsidP="008947E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86AC1" w:rsidRPr="00400833" w14:paraId="764E0639" w14:textId="77777777" w:rsidTr="00F86AC1">
        <w:tc>
          <w:tcPr>
            <w:tcW w:w="3936" w:type="dxa"/>
          </w:tcPr>
          <w:p w14:paraId="4EACEFCA" w14:textId="55F19C2A" w:rsidR="00732C72" w:rsidRPr="00732C72" w:rsidRDefault="00F86AC1" w:rsidP="00732C72">
            <w:pPr>
              <w:rPr>
                <w:rFonts w:asciiTheme="minorHAnsi" w:hAnsiTheme="minorHAnsi"/>
                <w:szCs w:val="20"/>
              </w:rPr>
            </w:pPr>
            <w:r w:rsidRPr="00400833">
              <w:rPr>
                <w:rFonts w:asciiTheme="minorHAnsi" w:hAnsiTheme="minorHAnsi"/>
                <w:szCs w:val="20"/>
              </w:rPr>
              <w:t>19.</w:t>
            </w:r>
            <w:r w:rsidR="00732C72" w:rsidRPr="00732C72">
              <w:rPr>
                <w:rFonts w:asciiTheme="minorHAnsi" w:hAnsiTheme="minorHAnsi"/>
                <w:szCs w:val="20"/>
              </w:rPr>
              <w:t>107</w:t>
            </w:r>
            <w:r w:rsidR="00840A97">
              <w:rPr>
                <w:rFonts w:asciiTheme="minorHAnsi" w:hAnsiTheme="minorHAnsi"/>
                <w:szCs w:val="20"/>
              </w:rPr>
              <w:t xml:space="preserve"> </w:t>
            </w:r>
            <w:r w:rsidR="00732C72" w:rsidRPr="00732C72">
              <w:rPr>
                <w:rFonts w:asciiTheme="minorHAnsi" w:hAnsiTheme="minorHAnsi"/>
                <w:szCs w:val="20"/>
              </w:rPr>
              <w:t>An AMC must reference a single portfolio that is actively managed by an independent portfolio</w:t>
            </w:r>
          </w:p>
          <w:p w14:paraId="231FC7D6" w14:textId="5B77F238" w:rsidR="00F86AC1" w:rsidRPr="00400833" w:rsidRDefault="00732C72" w:rsidP="00732C72">
            <w:pPr>
              <w:rPr>
                <w:rFonts w:asciiTheme="minorHAnsi" w:hAnsiTheme="minorHAnsi"/>
                <w:szCs w:val="20"/>
              </w:rPr>
            </w:pPr>
            <w:r w:rsidRPr="00732C72">
              <w:rPr>
                <w:rFonts w:asciiTheme="minorHAnsi" w:hAnsiTheme="minorHAnsi"/>
                <w:szCs w:val="20"/>
              </w:rPr>
              <w:t>manager.</w:t>
            </w:r>
          </w:p>
        </w:tc>
        <w:tc>
          <w:tcPr>
            <w:tcW w:w="2522" w:type="dxa"/>
          </w:tcPr>
          <w:p w14:paraId="154213BE" w14:textId="77777777" w:rsidR="00F86AC1" w:rsidRPr="00400833" w:rsidRDefault="00F86AC1" w:rsidP="008947E9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14:paraId="22FC1FF0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3D6211B4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4005B91A" w14:textId="77777777" w:rsidTr="00F86AC1">
        <w:tc>
          <w:tcPr>
            <w:tcW w:w="3936" w:type="dxa"/>
          </w:tcPr>
          <w:p w14:paraId="7234819E" w14:textId="7FED70CD" w:rsidR="00732C72" w:rsidRPr="00732C72" w:rsidRDefault="00732C72" w:rsidP="00732C72">
            <w:pPr>
              <w:rPr>
                <w:rFonts w:asciiTheme="minorHAnsi" w:hAnsiTheme="minorHAnsi"/>
                <w:bCs/>
                <w:szCs w:val="20"/>
              </w:rPr>
            </w:pPr>
            <w:r w:rsidRPr="00732C72">
              <w:rPr>
                <w:rFonts w:asciiTheme="minorHAnsi" w:hAnsiTheme="minorHAnsi"/>
                <w:bCs/>
                <w:szCs w:val="20"/>
              </w:rPr>
              <w:t>19.108</w:t>
            </w:r>
            <w:r w:rsidR="00840A97">
              <w:rPr>
                <w:rFonts w:asciiTheme="minorHAnsi" w:hAnsiTheme="minorHAnsi"/>
                <w:bCs/>
                <w:szCs w:val="20"/>
              </w:rPr>
              <w:t xml:space="preserve"> </w:t>
            </w:r>
            <w:r w:rsidRPr="00732C72">
              <w:rPr>
                <w:rFonts w:asciiTheme="minorHAnsi" w:hAnsiTheme="minorHAnsi"/>
                <w:bCs/>
                <w:szCs w:val="20"/>
              </w:rPr>
              <w:t>The portfolio manager of the reference portfolio must be independent from the issuer and must</w:t>
            </w:r>
          </w:p>
          <w:p w14:paraId="1F754C71" w14:textId="19838524" w:rsidR="00732C72" w:rsidRPr="00732C72" w:rsidRDefault="00732C72" w:rsidP="00732C72">
            <w:pPr>
              <w:rPr>
                <w:rFonts w:asciiTheme="minorHAnsi" w:hAnsiTheme="minorHAnsi"/>
                <w:bCs/>
                <w:szCs w:val="20"/>
              </w:rPr>
            </w:pPr>
            <w:r w:rsidRPr="00732C72">
              <w:rPr>
                <w:rFonts w:asciiTheme="minorHAnsi" w:hAnsiTheme="minorHAnsi"/>
                <w:bCs/>
                <w:szCs w:val="20"/>
              </w:rPr>
              <w:t>implement the strategy as determined by the investment mandate of the reference portfolio.</w:t>
            </w:r>
            <w:r>
              <w:rPr>
                <w:rFonts w:asciiTheme="minorHAnsi" w:hAnsiTheme="minorHAnsi"/>
                <w:bCs/>
                <w:szCs w:val="20"/>
              </w:rPr>
              <w:t xml:space="preserve"> </w:t>
            </w:r>
            <w:r w:rsidRPr="00732C72">
              <w:rPr>
                <w:rFonts w:asciiTheme="minorHAnsi" w:hAnsiTheme="minorHAnsi"/>
                <w:bCs/>
                <w:szCs w:val="20"/>
              </w:rPr>
              <w:t>The issuer must be able to demonstrate that the reference portfolio manager acts in a neutral</w:t>
            </w:r>
            <w:r>
              <w:rPr>
                <w:rFonts w:asciiTheme="minorHAnsi" w:hAnsiTheme="minorHAnsi"/>
                <w:bCs/>
                <w:szCs w:val="20"/>
              </w:rPr>
              <w:t xml:space="preserve"> </w:t>
            </w:r>
            <w:r w:rsidRPr="00732C72">
              <w:rPr>
                <w:rFonts w:asciiTheme="minorHAnsi" w:hAnsiTheme="minorHAnsi"/>
                <w:bCs/>
                <w:szCs w:val="20"/>
              </w:rPr>
              <w:t>and objective manner without any undue influence from the issuer. The issuer must confirm to</w:t>
            </w:r>
          </w:p>
          <w:p w14:paraId="1844619B" w14:textId="72023DED" w:rsidR="00F86AC1" w:rsidRPr="00732C72" w:rsidRDefault="00732C72" w:rsidP="00732C72">
            <w:pPr>
              <w:rPr>
                <w:rFonts w:asciiTheme="minorHAnsi" w:hAnsiTheme="minorHAnsi"/>
                <w:bCs/>
                <w:szCs w:val="20"/>
              </w:rPr>
            </w:pPr>
            <w:r w:rsidRPr="00732C72">
              <w:rPr>
                <w:rFonts w:asciiTheme="minorHAnsi" w:hAnsiTheme="minorHAnsi"/>
                <w:bCs/>
                <w:szCs w:val="20"/>
              </w:rPr>
              <w:t>the JSE that the portfolio manager complies with the following:</w:t>
            </w:r>
          </w:p>
        </w:tc>
        <w:tc>
          <w:tcPr>
            <w:tcW w:w="2522" w:type="dxa"/>
          </w:tcPr>
          <w:p w14:paraId="126124B8" w14:textId="77777777" w:rsidR="00F86AC1" w:rsidRPr="00400833" w:rsidRDefault="00F86AC1" w:rsidP="008947E9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14:paraId="33CA5D2B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7565088B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01604674" w14:textId="77777777" w:rsidTr="00F86AC1">
        <w:tc>
          <w:tcPr>
            <w:tcW w:w="3936" w:type="dxa"/>
          </w:tcPr>
          <w:p w14:paraId="369AF6FC" w14:textId="74091750" w:rsidR="00F86AC1" w:rsidRPr="00732C72" w:rsidRDefault="00732C72" w:rsidP="00732C72">
            <w:pPr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t>a)</w:t>
            </w:r>
            <w:r>
              <w:t xml:space="preserve"> </w:t>
            </w:r>
            <w:r w:rsidRPr="00732C72">
              <w:rPr>
                <w:rFonts w:asciiTheme="minorHAnsi" w:hAnsiTheme="minorHAnsi"/>
                <w:bCs/>
                <w:szCs w:val="20"/>
              </w:rPr>
              <w:t>Cat II discretionary FSP, authorised by the FSCA;</w:t>
            </w:r>
          </w:p>
        </w:tc>
        <w:tc>
          <w:tcPr>
            <w:tcW w:w="2522" w:type="dxa"/>
          </w:tcPr>
          <w:p w14:paraId="7201E188" w14:textId="77777777" w:rsidR="00F86AC1" w:rsidRPr="00400833" w:rsidRDefault="00F86AC1" w:rsidP="008947E9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14:paraId="4D362341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30F35067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3DC8BEDD" w14:textId="77777777" w:rsidTr="00F86AC1">
        <w:tc>
          <w:tcPr>
            <w:tcW w:w="3936" w:type="dxa"/>
          </w:tcPr>
          <w:p w14:paraId="657B8B1B" w14:textId="0432C4CC" w:rsidR="00F86AC1" w:rsidRPr="00732C72" w:rsidRDefault="00732C72" w:rsidP="00732C72">
            <w:pPr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t>b)</w:t>
            </w:r>
            <w:r w:rsidR="00E05C53">
              <w:t xml:space="preserve"> </w:t>
            </w:r>
            <w:r w:rsidR="00E05C53" w:rsidRPr="00E05C53">
              <w:rPr>
                <w:rFonts w:asciiTheme="minorHAnsi" w:hAnsiTheme="minorHAnsi"/>
                <w:bCs/>
                <w:szCs w:val="20"/>
              </w:rPr>
              <w:t>A Member of the JSE, authorised to manage discretionary funds; or</w:t>
            </w:r>
          </w:p>
        </w:tc>
        <w:tc>
          <w:tcPr>
            <w:tcW w:w="2522" w:type="dxa"/>
          </w:tcPr>
          <w:p w14:paraId="4F948923" w14:textId="77777777" w:rsidR="00F86AC1" w:rsidRPr="00400833" w:rsidRDefault="00F86AC1" w:rsidP="008947E9">
            <w:pPr>
              <w:rPr>
                <w:bCs/>
                <w:sz w:val="16"/>
                <w:szCs w:val="16"/>
              </w:rPr>
            </w:pPr>
          </w:p>
        </w:tc>
        <w:tc>
          <w:tcPr>
            <w:tcW w:w="2014" w:type="dxa"/>
          </w:tcPr>
          <w:p w14:paraId="105DF276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7F2B5E2C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7C17A199" w14:textId="77777777" w:rsidTr="00F86AC1">
        <w:tc>
          <w:tcPr>
            <w:tcW w:w="3936" w:type="dxa"/>
          </w:tcPr>
          <w:p w14:paraId="594EE7F2" w14:textId="26B137A8" w:rsidR="00F86AC1" w:rsidRPr="00E05C53" w:rsidRDefault="00E05C53" w:rsidP="00E05C53">
            <w:pPr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lastRenderedPageBreak/>
              <w:t>c)</w:t>
            </w:r>
            <w:r>
              <w:t xml:space="preserve"> </w:t>
            </w:r>
            <w:r w:rsidRPr="00E05C53">
              <w:rPr>
                <w:rFonts w:asciiTheme="minorHAnsi" w:hAnsiTheme="minorHAnsi"/>
                <w:bCs/>
                <w:szCs w:val="20"/>
              </w:rPr>
              <w:t>Or any foreign manager with the equivalent status.</w:t>
            </w:r>
          </w:p>
        </w:tc>
        <w:tc>
          <w:tcPr>
            <w:tcW w:w="2522" w:type="dxa"/>
          </w:tcPr>
          <w:p w14:paraId="43250994" w14:textId="77777777" w:rsidR="00F86AC1" w:rsidRPr="00400833" w:rsidRDefault="00F86AC1" w:rsidP="008947E9">
            <w:pPr>
              <w:rPr>
                <w:bCs/>
                <w:sz w:val="16"/>
                <w:szCs w:val="16"/>
              </w:rPr>
            </w:pPr>
          </w:p>
        </w:tc>
        <w:tc>
          <w:tcPr>
            <w:tcW w:w="2014" w:type="dxa"/>
          </w:tcPr>
          <w:p w14:paraId="7EED445C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6F647634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37EA166B" w14:textId="77777777" w:rsidTr="00F86AC1">
        <w:tc>
          <w:tcPr>
            <w:tcW w:w="3936" w:type="dxa"/>
          </w:tcPr>
          <w:p w14:paraId="319F5C66" w14:textId="0C19C0D7" w:rsidR="00F86AC1" w:rsidRPr="00E05C53" w:rsidRDefault="00840A97" w:rsidP="00E05C53">
            <w:pPr>
              <w:rPr>
                <w:rFonts w:asciiTheme="minorHAnsi" w:hAnsiTheme="minorHAnsi"/>
                <w:szCs w:val="20"/>
              </w:rPr>
            </w:pPr>
            <w:r w:rsidRPr="00E05C53">
              <w:rPr>
                <w:rFonts w:asciiTheme="minorHAnsi" w:hAnsiTheme="minorHAnsi"/>
                <w:szCs w:val="20"/>
              </w:rPr>
              <w:t>19.109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Pr="00E05C53">
              <w:rPr>
                <w:rFonts w:asciiTheme="minorHAnsi" w:hAnsiTheme="minorHAnsi"/>
                <w:szCs w:val="20"/>
              </w:rPr>
              <w:t>The</w:t>
            </w:r>
            <w:r w:rsidR="00E05C53" w:rsidRPr="00E05C53">
              <w:rPr>
                <w:rFonts w:asciiTheme="minorHAnsi" w:hAnsiTheme="minorHAnsi"/>
                <w:szCs w:val="20"/>
              </w:rPr>
              <w:t xml:space="preserve"> issuer must adhere to the liquidity requirements pursuant to paragraph 19.118.</w:t>
            </w:r>
          </w:p>
        </w:tc>
        <w:tc>
          <w:tcPr>
            <w:tcW w:w="2522" w:type="dxa"/>
          </w:tcPr>
          <w:p w14:paraId="49A88B99" w14:textId="77777777" w:rsidR="00F86AC1" w:rsidRPr="00400833" w:rsidRDefault="00F86AC1" w:rsidP="008947E9">
            <w:pPr>
              <w:rPr>
                <w:bCs/>
                <w:sz w:val="16"/>
                <w:szCs w:val="16"/>
              </w:rPr>
            </w:pPr>
          </w:p>
          <w:p w14:paraId="62003E8D" w14:textId="77777777" w:rsidR="00F86AC1" w:rsidRPr="00400833" w:rsidRDefault="00F86AC1" w:rsidP="008947E9">
            <w:pPr>
              <w:rPr>
                <w:bCs/>
                <w:sz w:val="16"/>
                <w:szCs w:val="16"/>
              </w:rPr>
            </w:pPr>
          </w:p>
        </w:tc>
        <w:tc>
          <w:tcPr>
            <w:tcW w:w="2014" w:type="dxa"/>
          </w:tcPr>
          <w:p w14:paraId="3E6C9C7C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67BC2526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608DF97E" w14:textId="77777777" w:rsidTr="00F86AC1">
        <w:tc>
          <w:tcPr>
            <w:tcW w:w="3936" w:type="dxa"/>
          </w:tcPr>
          <w:p w14:paraId="62CB05D0" w14:textId="22F46D5B" w:rsidR="00F86AC1" w:rsidRPr="00E05C53" w:rsidRDefault="00E05C53" w:rsidP="00E05C53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E05C53">
              <w:rPr>
                <w:rFonts w:asciiTheme="minorHAnsi" w:hAnsiTheme="minorHAnsi"/>
                <w:b/>
                <w:bCs/>
                <w:szCs w:val="20"/>
              </w:rPr>
              <w:t>Placing document or Pricing Supplement</w:t>
            </w:r>
          </w:p>
        </w:tc>
        <w:tc>
          <w:tcPr>
            <w:tcW w:w="2522" w:type="dxa"/>
          </w:tcPr>
          <w:p w14:paraId="21AAD894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14:paraId="32435B57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5D13ED93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106956C2" w14:textId="77777777" w:rsidTr="00F86AC1">
        <w:tc>
          <w:tcPr>
            <w:tcW w:w="3936" w:type="dxa"/>
          </w:tcPr>
          <w:p w14:paraId="41A92F7D" w14:textId="0FE1A26F" w:rsidR="00F86AC1" w:rsidRPr="00E05C53" w:rsidRDefault="00E05C53" w:rsidP="00E05C53">
            <w:pPr>
              <w:rPr>
                <w:rFonts w:asciiTheme="minorHAnsi" w:hAnsiTheme="minorHAnsi"/>
                <w:szCs w:val="20"/>
              </w:rPr>
            </w:pPr>
            <w:r w:rsidRPr="00E05C53">
              <w:rPr>
                <w:rFonts w:asciiTheme="minorHAnsi" w:hAnsiTheme="minorHAnsi"/>
                <w:szCs w:val="20"/>
              </w:rPr>
              <w:t>19.110</w:t>
            </w:r>
            <w:r w:rsidR="00840A97">
              <w:rPr>
                <w:rFonts w:asciiTheme="minorHAnsi" w:hAnsiTheme="minorHAnsi"/>
                <w:szCs w:val="20"/>
              </w:rPr>
              <w:t xml:space="preserve"> </w:t>
            </w:r>
            <w:r w:rsidRPr="00E05C53">
              <w:rPr>
                <w:rFonts w:asciiTheme="minorHAnsi" w:hAnsiTheme="minorHAnsi"/>
                <w:szCs w:val="20"/>
              </w:rPr>
              <w:t>In addition to the disclosure provisions pursuant to paragraphs 19.16 and 19.17 above, an issuer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Pr="00E05C53">
              <w:rPr>
                <w:rFonts w:asciiTheme="minorHAnsi" w:hAnsiTheme="minorHAnsi"/>
                <w:szCs w:val="20"/>
              </w:rPr>
              <w:t>must include the following additional information in the pricing supplement:</w:t>
            </w:r>
          </w:p>
          <w:p w14:paraId="128FAAA6" w14:textId="77777777" w:rsidR="00F86AC1" w:rsidRPr="00400833" w:rsidRDefault="00F86AC1" w:rsidP="008947E9">
            <w:pPr>
              <w:pStyle w:val="List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2" w:type="dxa"/>
          </w:tcPr>
          <w:p w14:paraId="2C926CC9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14:paraId="086423A1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04B78B58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64D9F452" w14:textId="77777777" w:rsidTr="00F86AC1">
        <w:tc>
          <w:tcPr>
            <w:tcW w:w="3936" w:type="dxa"/>
          </w:tcPr>
          <w:p w14:paraId="34321543" w14:textId="2A64692A" w:rsidR="00F86AC1" w:rsidRPr="00E05C53" w:rsidRDefault="00E05C53" w:rsidP="00E05C53">
            <w:pPr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t>a)</w:t>
            </w:r>
            <w:r>
              <w:t xml:space="preserve"> </w:t>
            </w:r>
            <w:r w:rsidRPr="00E05C53">
              <w:rPr>
                <w:rFonts w:asciiTheme="minorHAnsi" w:hAnsiTheme="minorHAnsi"/>
                <w:bCs/>
                <w:szCs w:val="20"/>
              </w:rPr>
              <w:t>a statement that investors must obtain their own independent tax advice;</w:t>
            </w:r>
          </w:p>
        </w:tc>
        <w:tc>
          <w:tcPr>
            <w:tcW w:w="2522" w:type="dxa"/>
          </w:tcPr>
          <w:p w14:paraId="00667B71" w14:textId="77777777" w:rsidR="00F86AC1" w:rsidRPr="00400833" w:rsidRDefault="00F86AC1" w:rsidP="008947E9">
            <w:pPr>
              <w:rPr>
                <w:sz w:val="16"/>
                <w:szCs w:val="16"/>
              </w:rPr>
            </w:pPr>
          </w:p>
          <w:p w14:paraId="769A5831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14:paraId="1A364E35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3063199A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7B28C010" w14:textId="77777777" w:rsidTr="00F86AC1">
        <w:tc>
          <w:tcPr>
            <w:tcW w:w="3936" w:type="dxa"/>
          </w:tcPr>
          <w:p w14:paraId="56F04CCB" w14:textId="69980137" w:rsidR="00F86AC1" w:rsidRPr="00E05C53" w:rsidRDefault="00E05C53" w:rsidP="00E05C53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b)</w:t>
            </w:r>
            <w:r>
              <w:t xml:space="preserve"> </w:t>
            </w:r>
            <w:r w:rsidRPr="00E05C53">
              <w:rPr>
                <w:rFonts w:asciiTheme="minorHAnsi" w:hAnsiTheme="minorHAnsi"/>
                <w:szCs w:val="20"/>
              </w:rPr>
              <w:t>the name of the portfolio and the portfolio manager;</w:t>
            </w:r>
          </w:p>
        </w:tc>
        <w:tc>
          <w:tcPr>
            <w:tcW w:w="2522" w:type="dxa"/>
          </w:tcPr>
          <w:p w14:paraId="5BBEDA64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14:paraId="43CD1594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2DC1B425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2C69B4A6" w14:textId="77777777" w:rsidTr="00F86AC1">
        <w:tc>
          <w:tcPr>
            <w:tcW w:w="3936" w:type="dxa"/>
          </w:tcPr>
          <w:p w14:paraId="3E57DDEE" w14:textId="11404225" w:rsidR="00F86AC1" w:rsidRPr="00E05C53" w:rsidRDefault="00E05C53" w:rsidP="00E05C53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c)</w:t>
            </w:r>
            <w:r w:rsidR="00A45948">
              <w:t xml:space="preserve"> </w:t>
            </w:r>
            <w:r w:rsidR="00A45948" w:rsidRPr="00A45948">
              <w:rPr>
                <w:rFonts w:asciiTheme="minorHAnsi" w:hAnsiTheme="minorHAnsi"/>
                <w:szCs w:val="20"/>
              </w:rPr>
              <w:t>a statement that the portfolio manager is independent from the issuer;</w:t>
            </w:r>
          </w:p>
        </w:tc>
        <w:tc>
          <w:tcPr>
            <w:tcW w:w="2522" w:type="dxa"/>
          </w:tcPr>
          <w:p w14:paraId="4BE9C0F0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14:paraId="619B89FB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27095760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68DDD108" w14:textId="77777777" w:rsidTr="00F86AC1">
        <w:tc>
          <w:tcPr>
            <w:tcW w:w="3936" w:type="dxa"/>
          </w:tcPr>
          <w:p w14:paraId="7B1CB64F" w14:textId="77777777" w:rsidR="00A45948" w:rsidRPr="00A45948" w:rsidRDefault="00A45948" w:rsidP="00A45948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d) </w:t>
            </w:r>
            <w:r w:rsidRPr="00A45948">
              <w:rPr>
                <w:rFonts w:asciiTheme="minorHAnsi" w:hAnsiTheme="minorHAnsi"/>
                <w:szCs w:val="20"/>
              </w:rPr>
              <w:t>the investment mandate of the reference portfolio must be included under the terms</w:t>
            </w:r>
          </w:p>
          <w:p w14:paraId="450071BA" w14:textId="034142A2" w:rsidR="00F86AC1" w:rsidRPr="00A45948" w:rsidRDefault="00A45948" w:rsidP="00A45948">
            <w:pPr>
              <w:rPr>
                <w:rFonts w:asciiTheme="minorHAnsi" w:hAnsiTheme="minorHAnsi"/>
                <w:szCs w:val="20"/>
              </w:rPr>
            </w:pPr>
            <w:r w:rsidRPr="00A45948">
              <w:rPr>
                <w:rFonts w:asciiTheme="minorHAnsi" w:hAnsiTheme="minorHAnsi"/>
                <w:szCs w:val="20"/>
              </w:rPr>
              <w:t>and conditions section of the placing document;</w:t>
            </w:r>
          </w:p>
        </w:tc>
        <w:tc>
          <w:tcPr>
            <w:tcW w:w="2522" w:type="dxa"/>
          </w:tcPr>
          <w:p w14:paraId="3D17CB5B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14:paraId="54E13348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5E792719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62DB6344" w14:textId="77777777" w:rsidTr="00F86AC1">
        <w:tc>
          <w:tcPr>
            <w:tcW w:w="3936" w:type="dxa"/>
          </w:tcPr>
          <w:p w14:paraId="3325122B" w14:textId="77777777" w:rsidR="00A45948" w:rsidRPr="00A45948" w:rsidRDefault="00A45948" w:rsidP="00A45948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e) </w:t>
            </w:r>
            <w:r w:rsidRPr="00A45948">
              <w:rPr>
                <w:rFonts w:asciiTheme="minorHAnsi" w:hAnsiTheme="minorHAnsi"/>
                <w:szCs w:val="20"/>
              </w:rPr>
              <w:t>in relation to the investment mandate, the following additional details must be disclosed:</w:t>
            </w:r>
          </w:p>
          <w:p w14:paraId="3036C700" w14:textId="77777777" w:rsidR="00A45948" w:rsidRPr="00A45948" w:rsidRDefault="00A45948" w:rsidP="00A45948">
            <w:pPr>
              <w:rPr>
                <w:rFonts w:asciiTheme="minorHAnsi" w:hAnsiTheme="minorHAnsi"/>
                <w:szCs w:val="20"/>
              </w:rPr>
            </w:pPr>
            <w:r w:rsidRPr="00A45948">
              <w:rPr>
                <w:rFonts w:asciiTheme="minorHAnsi" w:hAnsiTheme="minorHAnsi"/>
                <w:szCs w:val="20"/>
              </w:rPr>
              <w:t>(</w:t>
            </w:r>
            <w:proofErr w:type="spellStart"/>
            <w:r w:rsidRPr="00A45948">
              <w:rPr>
                <w:rFonts w:asciiTheme="minorHAnsi" w:hAnsiTheme="minorHAnsi"/>
                <w:szCs w:val="20"/>
              </w:rPr>
              <w:t>i</w:t>
            </w:r>
            <w:proofErr w:type="spellEnd"/>
            <w:r w:rsidRPr="00A45948">
              <w:rPr>
                <w:rFonts w:asciiTheme="minorHAnsi" w:hAnsiTheme="minorHAnsi"/>
                <w:szCs w:val="20"/>
              </w:rPr>
              <w:t xml:space="preserve">) the investment universe of eligible </w:t>
            </w:r>
            <w:proofErr w:type="gramStart"/>
            <w:r w:rsidRPr="00A45948">
              <w:rPr>
                <w:rFonts w:asciiTheme="minorHAnsi" w:hAnsiTheme="minorHAnsi"/>
                <w:szCs w:val="20"/>
              </w:rPr>
              <w:t>securities;</w:t>
            </w:r>
            <w:proofErr w:type="gramEnd"/>
          </w:p>
          <w:p w14:paraId="407D1A80" w14:textId="77777777" w:rsidR="00A45948" w:rsidRPr="00A45948" w:rsidRDefault="00A45948" w:rsidP="00A45948">
            <w:pPr>
              <w:rPr>
                <w:rFonts w:asciiTheme="minorHAnsi" w:hAnsiTheme="minorHAnsi"/>
                <w:szCs w:val="20"/>
              </w:rPr>
            </w:pPr>
            <w:r w:rsidRPr="00A45948">
              <w:rPr>
                <w:rFonts w:asciiTheme="minorHAnsi" w:hAnsiTheme="minorHAnsi"/>
                <w:szCs w:val="20"/>
              </w:rPr>
              <w:t>(ii) applicable benchmark for the performance of the portfolio; and</w:t>
            </w:r>
          </w:p>
          <w:p w14:paraId="20A90FC7" w14:textId="068486C3" w:rsidR="00F86AC1" w:rsidRPr="00A45948" w:rsidRDefault="00A45948" w:rsidP="00A45948">
            <w:pPr>
              <w:rPr>
                <w:rFonts w:asciiTheme="minorHAnsi" w:hAnsiTheme="minorHAnsi"/>
                <w:szCs w:val="20"/>
              </w:rPr>
            </w:pPr>
            <w:r w:rsidRPr="00A45948">
              <w:rPr>
                <w:rFonts w:asciiTheme="minorHAnsi" w:hAnsiTheme="minorHAnsi"/>
                <w:szCs w:val="20"/>
              </w:rPr>
              <w:t>(iii) the investment theme and applicable sectors that the portfolio will invest;</w:t>
            </w:r>
          </w:p>
        </w:tc>
        <w:tc>
          <w:tcPr>
            <w:tcW w:w="2522" w:type="dxa"/>
          </w:tcPr>
          <w:p w14:paraId="10CF000A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14:paraId="704142B1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12A86FF2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748BBF4A" w14:textId="77777777" w:rsidTr="00F86AC1">
        <w:tc>
          <w:tcPr>
            <w:tcW w:w="3936" w:type="dxa"/>
          </w:tcPr>
          <w:p w14:paraId="157C0511" w14:textId="12EE8AF7" w:rsidR="00F86AC1" w:rsidRPr="00A45948" w:rsidRDefault="00A45948" w:rsidP="00A45948">
            <w:pPr>
              <w:rPr>
                <w:rFonts w:asciiTheme="minorHAnsi" w:hAnsiTheme="minorHAnsi"/>
                <w:szCs w:val="20"/>
                <w:lang w:val="en-ZA"/>
              </w:rPr>
            </w:pPr>
            <w:r w:rsidRPr="00A45948">
              <w:rPr>
                <w:rFonts w:asciiTheme="minorHAnsi" w:hAnsiTheme="minorHAnsi"/>
                <w:szCs w:val="20"/>
                <w:lang w:val="en-ZA"/>
              </w:rPr>
              <w:t>(f) in the event of any amendments being made to the investment mandate, the provisions</w:t>
            </w:r>
            <w:r>
              <w:rPr>
                <w:rFonts w:asciiTheme="minorHAnsi" w:hAnsiTheme="minorHAnsi"/>
                <w:szCs w:val="20"/>
                <w:lang w:val="en-ZA"/>
              </w:rPr>
              <w:t xml:space="preserve"> </w:t>
            </w:r>
            <w:r w:rsidRPr="00A45948">
              <w:rPr>
                <w:rFonts w:asciiTheme="minorHAnsi" w:hAnsiTheme="minorHAnsi"/>
                <w:szCs w:val="20"/>
                <w:lang w:val="en-ZA"/>
              </w:rPr>
              <w:t>of paragraphs 19.22 and 19.23(b)(</w:t>
            </w:r>
            <w:proofErr w:type="spellStart"/>
            <w:r w:rsidRPr="00A45948">
              <w:rPr>
                <w:rFonts w:asciiTheme="minorHAnsi" w:hAnsiTheme="minorHAnsi"/>
                <w:szCs w:val="20"/>
                <w:lang w:val="en-ZA"/>
              </w:rPr>
              <w:t>i</w:t>
            </w:r>
            <w:proofErr w:type="spellEnd"/>
            <w:r w:rsidRPr="00A45948">
              <w:rPr>
                <w:rFonts w:asciiTheme="minorHAnsi" w:hAnsiTheme="minorHAnsi"/>
                <w:szCs w:val="20"/>
                <w:lang w:val="en-ZA"/>
              </w:rPr>
              <w:t>) in relation to approval from the AMC holders and</w:t>
            </w:r>
            <w:r>
              <w:rPr>
                <w:rFonts w:asciiTheme="minorHAnsi" w:hAnsiTheme="minorHAnsi"/>
                <w:szCs w:val="20"/>
                <w:lang w:val="en-ZA"/>
              </w:rPr>
              <w:t xml:space="preserve"> </w:t>
            </w:r>
            <w:r w:rsidRPr="00A45948">
              <w:rPr>
                <w:rFonts w:asciiTheme="minorHAnsi" w:hAnsiTheme="minorHAnsi"/>
                <w:szCs w:val="20"/>
                <w:lang w:val="en-ZA"/>
              </w:rPr>
              <w:t>the JSE will apply;</w:t>
            </w:r>
          </w:p>
        </w:tc>
        <w:tc>
          <w:tcPr>
            <w:tcW w:w="2522" w:type="dxa"/>
          </w:tcPr>
          <w:p w14:paraId="51DB1D17" w14:textId="77777777" w:rsidR="00F86AC1" w:rsidRPr="00400833" w:rsidRDefault="00F86AC1" w:rsidP="008947E9">
            <w:pPr>
              <w:rPr>
                <w:bCs/>
                <w:sz w:val="16"/>
                <w:szCs w:val="16"/>
              </w:rPr>
            </w:pPr>
          </w:p>
          <w:p w14:paraId="5DF7D2DF" w14:textId="77777777" w:rsidR="00F86AC1" w:rsidRPr="00400833" w:rsidRDefault="00F86AC1" w:rsidP="008947E9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14:paraId="076194D9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45980885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65BBA0BD" w14:textId="77777777" w:rsidTr="00F86AC1">
        <w:tc>
          <w:tcPr>
            <w:tcW w:w="3936" w:type="dxa"/>
          </w:tcPr>
          <w:p w14:paraId="0E2927E5" w14:textId="34634065" w:rsidR="00F86AC1" w:rsidRPr="00A45948" w:rsidRDefault="00A45948" w:rsidP="00A45948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e) </w:t>
            </w:r>
            <w:r w:rsidRPr="00A45948">
              <w:rPr>
                <w:rFonts w:asciiTheme="minorHAnsi" w:hAnsiTheme="minorHAnsi"/>
                <w:szCs w:val="20"/>
              </w:rPr>
              <w:t>the cost applicable to the AMC;</w:t>
            </w:r>
          </w:p>
        </w:tc>
        <w:tc>
          <w:tcPr>
            <w:tcW w:w="2522" w:type="dxa"/>
          </w:tcPr>
          <w:p w14:paraId="5BEC3523" w14:textId="77777777" w:rsidR="00F86AC1" w:rsidRPr="00400833" w:rsidRDefault="00F86AC1" w:rsidP="008947E9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14:paraId="0FBF5B5B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3B206B28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3FBD8E36" w14:textId="77777777" w:rsidTr="00F86AC1">
        <w:tc>
          <w:tcPr>
            <w:tcW w:w="3936" w:type="dxa"/>
          </w:tcPr>
          <w:p w14:paraId="600BF013" w14:textId="77777777" w:rsidR="00A45948" w:rsidRPr="00A45948" w:rsidRDefault="00A45948" w:rsidP="00A45948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g) </w:t>
            </w:r>
            <w:r w:rsidRPr="00A45948">
              <w:rPr>
                <w:rFonts w:asciiTheme="minorHAnsi" w:hAnsiTheme="minorHAnsi"/>
                <w:szCs w:val="20"/>
              </w:rPr>
              <w:t xml:space="preserve">the methodology used to calculate the RPV and </w:t>
            </w:r>
            <w:proofErr w:type="spellStart"/>
            <w:proofErr w:type="gramStart"/>
            <w:r w:rsidRPr="00A45948">
              <w:rPr>
                <w:rFonts w:asciiTheme="minorHAnsi" w:hAnsiTheme="minorHAnsi"/>
                <w:szCs w:val="20"/>
              </w:rPr>
              <w:t>iRPV,if</w:t>
            </w:r>
            <w:proofErr w:type="spellEnd"/>
            <w:proofErr w:type="gramEnd"/>
            <w:r w:rsidRPr="00A45948">
              <w:rPr>
                <w:rFonts w:asciiTheme="minorHAnsi" w:hAnsiTheme="minorHAnsi"/>
                <w:szCs w:val="20"/>
              </w:rPr>
              <w:t xml:space="preserve"> applicable. This disclosure must</w:t>
            </w:r>
          </w:p>
          <w:p w14:paraId="45060476" w14:textId="77777777" w:rsidR="00A45948" w:rsidRPr="00A45948" w:rsidRDefault="00A45948" w:rsidP="00A45948">
            <w:pPr>
              <w:rPr>
                <w:rFonts w:asciiTheme="minorHAnsi" w:hAnsiTheme="minorHAnsi"/>
                <w:szCs w:val="20"/>
              </w:rPr>
            </w:pPr>
            <w:r w:rsidRPr="00A45948">
              <w:rPr>
                <w:rFonts w:asciiTheme="minorHAnsi" w:hAnsiTheme="minorHAnsi"/>
                <w:szCs w:val="20"/>
              </w:rPr>
              <w:lastRenderedPageBreak/>
              <w:t>clearly state that the credit risk assessment and impact on the valuation of the AMC is</w:t>
            </w:r>
          </w:p>
          <w:p w14:paraId="6A12703D" w14:textId="12E5EA80" w:rsidR="00F86AC1" w:rsidRPr="00A45948" w:rsidRDefault="00A45948" w:rsidP="00A45948">
            <w:pPr>
              <w:rPr>
                <w:rFonts w:asciiTheme="minorHAnsi" w:hAnsiTheme="minorHAnsi"/>
                <w:szCs w:val="20"/>
              </w:rPr>
            </w:pPr>
            <w:r w:rsidRPr="00A45948">
              <w:rPr>
                <w:rFonts w:asciiTheme="minorHAnsi" w:hAnsiTheme="minorHAnsi"/>
                <w:szCs w:val="20"/>
              </w:rPr>
              <w:t xml:space="preserve">independent from the calculation of RPV and </w:t>
            </w:r>
            <w:proofErr w:type="spellStart"/>
            <w:r w:rsidRPr="00A45948">
              <w:rPr>
                <w:rFonts w:asciiTheme="minorHAnsi" w:hAnsiTheme="minorHAnsi"/>
                <w:szCs w:val="20"/>
              </w:rPr>
              <w:t>iRPV</w:t>
            </w:r>
            <w:proofErr w:type="spellEnd"/>
            <w:r w:rsidRPr="00A45948">
              <w:rPr>
                <w:rFonts w:asciiTheme="minorHAnsi" w:hAnsiTheme="minorHAnsi"/>
                <w:szCs w:val="20"/>
              </w:rPr>
              <w:t>, if applicable;</w:t>
            </w:r>
          </w:p>
        </w:tc>
        <w:tc>
          <w:tcPr>
            <w:tcW w:w="2522" w:type="dxa"/>
          </w:tcPr>
          <w:p w14:paraId="6068BE7B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14:paraId="2D606B39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66FE2AD1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3B5130B0" w14:textId="77777777" w:rsidTr="00F86AC1">
        <w:tc>
          <w:tcPr>
            <w:tcW w:w="3936" w:type="dxa"/>
          </w:tcPr>
          <w:p w14:paraId="0F72708E" w14:textId="77777777" w:rsidR="00A45948" w:rsidRPr="00A45948" w:rsidRDefault="00A45948" w:rsidP="00A45948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  <w:szCs w:val="20"/>
              </w:rPr>
            </w:pPr>
            <w:proofErr w:type="spellStart"/>
            <w:r>
              <w:rPr>
                <w:rFonts w:asciiTheme="minorHAnsi" w:hAnsiTheme="minorHAnsi"/>
                <w:iCs/>
                <w:szCs w:val="20"/>
              </w:rPr>
              <w:t>i</w:t>
            </w:r>
            <w:proofErr w:type="spellEnd"/>
            <w:r w:rsidRPr="00A45948">
              <w:rPr>
                <w:rFonts w:asciiTheme="minorHAnsi" w:hAnsiTheme="minorHAnsi"/>
                <w:iCs/>
                <w:szCs w:val="20"/>
              </w:rPr>
              <w:t>)</w:t>
            </w:r>
            <w:r w:rsidR="00F86AC1" w:rsidRPr="00A45948">
              <w:rPr>
                <w:rFonts w:asciiTheme="minorHAnsi" w:hAnsiTheme="minorHAnsi"/>
                <w:iCs/>
                <w:szCs w:val="20"/>
              </w:rPr>
              <w:t xml:space="preserve"> </w:t>
            </w:r>
            <w:r w:rsidRPr="00A45948">
              <w:rPr>
                <w:rFonts w:asciiTheme="minorHAnsi" w:hAnsiTheme="minorHAnsi"/>
                <w:iCs/>
                <w:szCs w:val="20"/>
              </w:rPr>
              <w:t>disclosure of the location on the issuer’s website of the following:</w:t>
            </w:r>
          </w:p>
          <w:p w14:paraId="3454AB5D" w14:textId="77777777" w:rsidR="00A45948" w:rsidRPr="00A45948" w:rsidRDefault="00A45948" w:rsidP="00A45948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  <w:szCs w:val="20"/>
              </w:rPr>
            </w:pPr>
            <w:r w:rsidRPr="00A45948">
              <w:rPr>
                <w:rFonts w:asciiTheme="minorHAnsi" w:hAnsiTheme="minorHAnsi"/>
                <w:iCs/>
                <w:szCs w:val="20"/>
              </w:rPr>
              <w:t>(</w:t>
            </w:r>
            <w:proofErr w:type="spellStart"/>
            <w:r w:rsidRPr="00A45948">
              <w:rPr>
                <w:rFonts w:asciiTheme="minorHAnsi" w:hAnsiTheme="minorHAnsi"/>
                <w:iCs/>
                <w:szCs w:val="20"/>
              </w:rPr>
              <w:t>i</w:t>
            </w:r>
            <w:proofErr w:type="spellEnd"/>
            <w:r w:rsidRPr="00A45948">
              <w:rPr>
                <w:rFonts w:asciiTheme="minorHAnsi" w:hAnsiTheme="minorHAnsi"/>
                <w:iCs/>
                <w:szCs w:val="20"/>
              </w:rPr>
              <w:t>) RPV; and</w:t>
            </w:r>
          </w:p>
          <w:p w14:paraId="79AFB284" w14:textId="2F3ED5F8" w:rsidR="00F86AC1" w:rsidRPr="00A45948" w:rsidRDefault="00A45948" w:rsidP="00A45948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A45948">
              <w:rPr>
                <w:rFonts w:asciiTheme="minorHAnsi" w:hAnsiTheme="minorHAnsi"/>
                <w:iCs/>
                <w:szCs w:val="20"/>
              </w:rPr>
              <w:t xml:space="preserve">(ii) </w:t>
            </w:r>
            <w:proofErr w:type="spellStart"/>
            <w:r w:rsidRPr="00A45948">
              <w:rPr>
                <w:rFonts w:asciiTheme="minorHAnsi" w:hAnsiTheme="minorHAnsi"/>
                <w:iCs/>
                <w:szCs w:val="20"/>
              </w:rPr>
              <w:t>iRPV</w:t>
            </w:r>
            <w:proofErr w:type="spellEnd"/>
            <w:r w:rsidRPr="00A45948">
              <w:rPr>
                <w:rFonts w:asciiTheme="minorHAnsi" w:hAnsiTheme="minorHAnsi"/>
                <w:iCs/>
                <w:szCs w:val="20"/>
              </w:rPr>
              <w:t xml:space="preserve"> or portfolio composition file or both;</w:t>
            </w:r>
          </w:p>
        </w:tc>
        <w:tc>
          <w:tcPr>
            <w:tcW w:w="2522" w:type="dxa"/>
          </w:tcPr>
          <w:p w14:paraId="64606A23" w14:textId="77777777" w:rsidR="00F86AC1" w:rsidRPr="00400833" w:rsidRDefault="00F86AC1" w:rsidP="008947E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14:paraId="61D4A80A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363F73FB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48184336" w14:textId="77777777" w:rsidTr="00F86AC1">
        <w:tc>
          <w:tcPr>
            <w:tcW w:w="3936" w:type="dxa"/>
          </w:tcPr>
          <w:p w14:paraId="4E0DABB6" w14:textId="160A07F7" w:rsidR="00B709F0" w:rsidRPr="00B709F0" w:rsidRDefault="00B709F0" w:rsidP="00B709F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Cs w:val="20"/>
                <w:lang w:val="en-ZA"/>
              </w:rPr>
            </w:pPr>
            <w:r>
              <w:rPr>
                <w:rFonts w:asciiTheme="minorHAnsi" w:hAnsiTheme="minorHAnsi"/>
                <w:szCs w:val="20"/>
              </w:rPr>
              <w:t xml:space="preserve">j) </w:t>
            </w:r>
            <w:r w:rsidRPr="00B709F0">
              <w:rPr>
                <w:rFonts w:asciiTheme="minorHAnsi" w:eastAsiaTheme="minorHAnsi" w:hAnsiTheme="minorHAnsi" w:cstheme="minorHAnsi"/>
                <w:szCs w:val="20"/>
                <w:lang w:val="en-ZA"/>
              </w:rPr>
              <w:t xml:space="preserve">if </w:t>
            </w:r>
            <w:proofErr w:type="spellStart"/>
            <w:r w:rsidRPr="00B709F0">
              <w:rPr>
                <w:rFonts w:asciiTheme="minorHAnsi" w:eastAsiaTheme="minorHAnsi" w:hAnsiTheme="minorHAnsi" w:cstheme="minorHAnsi"/>
                <w:szCs w:val="20"/>
                <w:lang w:val="en-ZA"/>
              </w:rPr>
              <w:t>iRPV</w:t>
            </w:r>
            <w:proofErr w:type="spellEnd"/>
            <w:r w:rsidRPr="00B709F0">
              <w:rPr>
                <w:rFonts w:asciiTheme="minorHAnsi" w:eastAsiaTheme="minorHAnsi" w:hAnsiTheme="minorHAnsi" w:cstheme="minorHAnsi"/>
                <w:szCs w:val="20"/>
                <w:lang w:val="en-ZA"/>
              </w:rPr>
              <w:t xml:space="preserve"> is published and the underlying portfolio is not published, the conditions under</w:t>
            </w:r>
            <w:r>
              <w:rPr>
                <w:rFonts w:asciiTheme="minorHAnsi" w:eastAsiaTheme="minorHAnsi" w:hAnsiTheme="minorHAnsi" w:cstheme="minorHAnsi"/>
                <w:szCs w:val="20"/>
                <w:lang w:val="en-ZA"/>
              </w:rPr>
              <w:t xml:space="preserve"> </w:t>
            </w:r>
            <w:r w:rsidRPr="00B709F0">
              <w:rPr>
                <w:rFonts w:asciiTheme="minorHAnsi" w:eastAsiaTheme="minorHAnsi" w:hAnsiTheme="minorHAnsi" w:cstheme="minorHAnsi"/>
                <w:szCs w:val="20"/>
                <w:lang w:val="en-ZA"/>
              </w:rPr>
              <w:t xml:space="preserve">which the publication of </w:t>
            </w:r>
            <w:proofErr w:type="spellStart"/>
            <w:r w:rsidRPr="00B709F0">
              <w:rPr>
                <w:rFonts w:asciiTheme="minorHAnsi" w:eastAsiaTheme="minorHAnsi" w:hAnsiTheme="minorHAnsi" w:cstheme="minorHAnsi"/>
                <w:szCs w:val="20"/>
                <w:lang w:val="en-ZA"/>
              </w:rPr>
              <w:t>iRPV</w:t>
            </w:r>
            <w:proofErr w:type="spellEnd"/>
            <w:r w:rsidRPr="00B709F0">
              <w:rPr>
                <w:rFonts w:asciiTheme="minorHAnsi" w:eastAsiaTheme="minorHAnsi" w:hAnsiTheme="minorHAnsi" w:cstheme="minorHAnsi"/>
                <w:szCs w:val="20"/>
                <w:lang w:val="en-ZA"/>
              </w:rPr>
              <w:t xml:space="preserve"> will be halted. This must include disclosure that the</w:t>
            </w:r>
          </w:p>
          <w:p w14:paraId="7D813B0E" w14:textId="77777777" w:rsidR="00B709F0" w:rsidRPr="00B709F0" w:rsidRDefault="00B709F0" w:rsidP="00B709F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Cs w:val="20"/>
                <w:lang w:val="en-ZA"/>
              </w:rPr>
            </w:pPr>
            <w:r w:rsidRPr="00B709F0">
              <w:rPr>
                <w:rFonts w:asciiTheme="minorHAnsi" w:eastAsiaTheme="minorHAnsi" w:hAnsiTheme="minorHAnsi" w:cstheme="minorHAnsi"/>
                <w:szCs w:val="20"/>
                <w:lang w:val="en-ZA"/>
              </w:rPr>
              <w:t xml:space="preserve">publication of the </w:t>
            </w:r>
            <w:proofErr w:type="spellStart"/>
            <w:r w:rsidRPr="00B709F0">
              <w:rPr>
                <w:rFonts w:asciiTheme="minorHAnsi" w:eastAsiaTheme="minorHAnsi" w:hAnsiTheme="minorHAnsi" w:cstheme="minorHAnsi"/>
                <w:szCs w:val="20"/>
                <w:lang w:val="en-ZA"/>
              </w:rPr>
              <w:t>iRPV</w:t>
            </w:r>
            <w:proofErr w:type="spellEnd"/>
            <w:r w:rsidRPr="00B709F0">
              <w:rPr>
                <w:rFonts w:asciiTheme="minorHAnsi" w:eastAsiaTheme="minorHAnsi" w:hAnsiTheme="minorHAnsi" w:cstheme="minorHAnsi"/>
                <w:szCs w:val="20"/>
                <w:lang w:val="en-ZA"/>
              </w:rPr>
              <w:t xml:space="preserve"> will be halted if 10% of the listed underlying portfolio’s pricing</w:t>
            </w:r>
          </w:p>
          <w:p w14:paraId="61C39566" w14:textId="77777777" w:rsidR="00B709F0" w:rsidRPr="00B709F0" w:rsidRDefault="00B709F0" w:rsidP="00B709F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Cs w:val="20"/>
                <w:lang w:val="en-ZA"/>
              </w:rPr>
            </w:pPr>
            <w:r w:rsidRPr="00B709F0">
              <w:rPr>
                <w:rFonts w:asciiTheme="minorHAnsi" w:eastAsiaTheme="minorHAnsi" w:hAnsiTheme="minorHAnsi" w:cstheme="minorHAnsi"/>
                <w:szCs w:val="20"/>
                <w:lang w:val="en-ZA"/>
              </w:rPr>
              <w:t>(</w:t>
            </w:r>
            <w:proofErr w:type="gramStart"/>
            <w:r w:rsidRPr="00B709F0">
              <w:rPr>
                <w:rFonts w:asciiTheme="minorHAnsi" w:eastAsiaTheme="minorHAnsi" w:hAnsiTheme="minorHAnsi" w:cstheme="minorHAnsi"/>
                <w:szCs w:val="20"/>
                <w:lang w:val="en-ZA"/>
              </w:rPr>
              <w:t>excluding</w:t>
            </w:r>
            <w:proofErr w:type="gramEnd"/>
            <w:r w:rsidRPr="00B709F0">
              <w:rPr>
                <w:rFonts w:asciiTheme="minorHAnsi" w:eastAsiaTheme="minorHAnsi" w:hAnsiTheme="minorHAnsi" w:cstheme="minorHAnsi"/>
                <w:szCs w:val="20"/>
                <w:lang w:val="en-ZA"/>
              </w:rPr>
              <w:t xml:space="preserve"> derivatives pursuant to section 19.105 (b)) is no longer continuously</w:t>
            </w:r>
          </w:p>
          <w:p w14:paraId="34C594DF" w14:textId="27475A13" w:rsidR="00F86AC1" w:rsidRPr="00B709F0" w:rsidRDefault="00B709F0" w:rsidP="00B709F0">
            <w:pPr>
              <w:rPr>
                <w:rFonts w:asciiTheme="minorHAnsi" w:hAnsiTheme="minorHAnsi"/>
                <w:szCs w:val="20"/>
              </w:rPr>
            </w:pPr>
            <w:r w:rsidRPr="00B709F0">
              <w:rPr>
                <w:rFonts w:asciiTheme="minorHAnsi" w:eastAsiaTheme="minorHAnsi" w:hAnsiTheme="minorHAnsi" w:cstheme="minorHAnsi"/>
                <w:szCs w:val="20"/>
                <w:lang w:val="en-ZA"/>
              </w:rPr>
              <w:t>available on an actively traded public market;</w:t>
            </w:r>
          </w:p>
        </w:tc>
        <w:tc>
          <w:tcPr>
            <w:tcW w:w="2522" w:type="dxa"/>
          </w:tcPr>
          <w:p w14:paraId="1AED0D0D" w14:textId="77777777" w:rsidR="00F86AC1" w:rsidRPr="00400833" w:rsidRDefault="00F86AC1" w:rsidP="008947E9">
            <w:pPr>
              <w:rPr>
                <w:rFonts w:ascii="Arial,Bold" w:hAnsi="Arial,Bold" w:cs="Arial,Bold"/>
                <w:bCs/>
                <w:sz w:val="16"/>
                <w:szCs w:val="16"/>
              </w:rPr>
            </w:pPr>
          </w:p>
        </w:tc>
        <w:tc>
          <w:tcPr>
            <w:tcW w:w="2014" w:type="dxa"/>
          </w:tcPr>
          <w:p w14:paraId="131A5DA1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75869BE9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780FD1D1" w14:textId="77777777" w:rsidTr="00F86AC1">
        <w:tc>
          <w:tcPr>
            <w:tcW w:w="3936" w:type="dxa"/>
          </w:tcPr>
          <w:p w14:paraId="1A8B2FC6" w14:textId="77777777" w:rsidR="00B709F0" w:rsidRPr="00B709F0" w:rsidRDefault="00B709F0" w:rsidP="00B709F0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k) </w:t>
            </w:r>
            <w:r w:rsidRPr="00B709F0">
              <w:rPr>
                <w:rFonts w:asciiTheme="minorHAnsi" w:hAnsiTheme="minorHAnsi"/>
                <w:szCs w:val="20"/>
              </w:rPr>
              <w:t>disclosure on how the liquidity requirements pursuant to paragraph 19.118 will be</w:t>
            </w:r>
          </w:p>
          <w:p w14:paraId="68B484E9" w14:textId="77777777" w:rsidR="00B709F0" w:rsidRPr="00B709F0" w:rsidRDefault="00B709F0" w:rsidP="00B709F0">
            <w:pPr>
              <w:rPr>
                <w:rFonts w:asciiTheme="minorHAnsi" w:hAnsiTheme="minorHAnsi"/>
                <w:szCs w:val="20"/>
              </w:rPr>
            </w:pPr>
            <w:r w:rsidRPr="00B709F0">
              <w:rPr>
                <w:rFonts w:asciiTheme="minorHAnsi" w:hAnsiTheme="minorHAnsi"/>
                <w:szCs w:val="20"/>
              </w:rPr>
              <w:t>achieved:</w:t>
            </w:r>
          </w:p>
          <w:p w14:paraId="705BD182" w14:textId="77777777" w:rsidR="00B709F0" w:rsidRPr="00B709F0" w:rsidRDefault="00B709F0" w:rsidP="00B709F0">
            <w:pPr>
              <w:rPr>
                <w:rFonts w:asciiTheme="minorHAnsi" w:hAnsiTheme="minorHAnsi"/>
                <w:szCs w:val="20"/>
              </w:rPr>
            </w:pPr>
            <w:r w:rsidRPr="00B709F0">
              <w:rPr>
                <w:rFonts w:asciiTheme="minorHAnsi" w:hAnsiTheme="minorHAnsi"/>
                <w:szCs w:val="20"/>
              </w:rPr>
              <w:t>(</w:t>
            </w:r>
            <w:proofErr w:type="spellStart"/>
            <w:r w:rsidRPr="00B709F0">
              <w:rPr>
                <w:rFonts w:asciiTheme="minorHAnsi" w:hAnsiTheme="minorHAnsi"/>
                <w:szCs w:val="20"/>
              </w:rPr>
              <w:t>i</w:t>
            </w:r>
            <w:proofErr w:type="spellEnd"/>
            <w:r w:rsidRPr="00B709F0">
              <w:rPr>
                <w:rFonts w:asciiTheme="minorHAnsi" w:hAnsiTheme="minorHAnsi"/>
                <w:szCs w:val="20"/>
              </w:rPr>
              <w:t>) if a market maker is appointed pursuant to paragraph 19.118(a), disclosure of</w:t>
            </w:r>
          </w:p>
          <w:p w14:paraId="0D815387" w14:textId="77777777" w:rsidR="00B709F0" w:rsidRPr="00B709F0" w:rsidRDefault="00B709F0" w:rsidP="00B709F0">
            <w:pPr>
              <w:rPr>
                <w:rFonts w:asciiTheme="minorHAnsi" w:hAnsiTheme="minorHAnsi"/>
                <w:szCs w:val="20"/>
              </w:rPr>
            </w:pPr>
            <w:r w:rsidRPr="00B709F0">
              <w:rPr>
                <w:rFonts w:asciiTheme="minorHAnsi" w:hAnsiTheme="minorHAnsi"/>
                <w:szCs w:val="20"/>
              </w:rPr>
              <w:t xml:space="preserve">the location on the issuer’s website where the </w:t>
            </w:r>
            <w:proofErr w:type="spellStart"/>
            <w:r w:rsidRPr="00B709F0">
              <w:rPr>
                <w:rFonts w:asciiTheme="minorHAnsi" w:hAnsiTheme="minorHAnsi"/>
                <w:szCs w:val="20"/>
              </w:rPr>
              <w:t>iRPV</w:t>
            </w:r>
            <w:proofErr w:type="spellEnd"/>
            <w:r w:rsidRPr="00B709F0">
              <w:rPr>
                <w:rFonts w:asciiTheme="minorHAnsi" w:hAnsiTheme="minorHAnsi"/>
                <w:szCs w:val="20"/>
              </w:rPr>
              <w:t xml:space="preserve"> and or daily published</w:t>
            </w:r>
          </w:p>
          <w:p w14:paraId="356E19B7" w14:textId="77777777" w:rsidR="00B709F0" w:rsidRPr="00B709F0" w:rsidRDefault="00B709F0" w:rsidP="00B709F0">
            <w:pPr>
              <w:rPr>
                <w:rFonts w:asciiTheme="minorHAnsi" w:hAnsiTheme="minorHAnsi"/>
                <w:szCs w:val="20"/>
              </w:rPr>
            </w:pPr>
            <w:r w:rsidRPr="00B709F0">
              <w:rPr>
                <w:rFonts w:asciiTheme="minorHAnsi" w:hAnsiTheme="minorHAnsi"/>
                <w:szCs w:val="20"/>
              </w:rPr>
              <w:t>portfolio composition file (if applicable) can be found; and</w:t>
            </w:r>
          </w:p>
          <w:p w14:paraId="5BDD59BF" w14:textId="77777777" w:rsidR="00B709F0" w:rsidRPr="00B709F0" w:rsidRDefault="00B709F0" w:rsidP="00B709F0">
            <w:pPr>
              <w:rPr>
                <w:rFonts w:asciiTheme="minorHAnsi" w:hAnsiTheme="minorHAnsi"/>
                <w:szCs w:val="20"/>
              </w:rPr>
            </w:pPr>
            <w:r w:rsidRPr="00B709F0">
              <w:rPr>
                <w:rFonts w:asciiTheme="minorHAnsi" w:hAnsiTheme="minorHAnsi"/>
                <w:szCs w:val="20"/>
              </w:rPr>
              <w:t>(ii) if an agent is appointed pursuant to paragraph 19.118(b), disclosure –</w:t>
            </w:r>
          </w:p>
          <w:p w14:paraId="55C8CD2D" w14:textId="77777777" w:rsidR="00B709F0" w:rsidRPr="00B709F0" w:rsidRDefault="00B709F0" w:rsidP="00B709F0">
            <w:pPr>
              <w:rPr>
                <w:rFonts w:asciiTheme="minorHAnsi" w:hAnsiTheme="minorHAnsi"/>
                <w:szCs w:val="20"/>
              </w:rPr>
            </w:pPr>
            <w:r w:rsidRPr="00B709F0">
              <w:rPr>
                <w:rFonts w:asciiTheme="minorHAnsi" w:hAnsiTheme="minorHAnsi"/>
                <w:szCs w:val="20"/>
              </w:rPr>
              <w:t>(aa) whether all the costs relating to the provision of liquidity will accrue to</w:t>
            </w:r>
          </w:p>
          <w:p w14:paraId="67D82FE4" w14:textId="77777777" w:rsidR="00F86AC1" w:rsidRDefault="00B709F0" w:rsidP="00B709F0">
            <w:pPr>
              <w:rPr>
                <w:rFonts w:asciiTheme="minorHAnsi" w:hAnsiTheme="minorHAnsi"/>
                <w:szCs w:val="20"/>
              </w:rPr>
            </w:pPr>
            <w:r w:rsidRPr="00B709F0">
              <w:rPr>
                <w:rFonts w:asciiTheme="minorHAnsi" w:hAnsiTheme="minorHAnsi"/>
                <w:szCs w:val="20"/>
              </w:rPr>
              <w:t>the portfolio or not; and</w:t>
            </w:r>
          </w:p>
          <w:p w14:paraId="057E4496" w14:textId="77777777" w:rsidR="00B709F0" w:rsidRPr="00B709F0" w:rsidRDefault="00B709F0" w:rsidP="00B709F0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(</w:t>
            </w:r>
            <w:r w:rsidRPr="00B709F0">
              <w:rPr>
                <w:rFonts w:asciiTheme="minorHAnsi" w:hAnsiTheme="minorHAnsi"/>
                <w:szCs w:val="20"/>
              </w:rPr>
              <w:t>bb) the location on the issuer’s website where the bid and offer spread</w:t>
            </w:r>
          </w:p>
          <w:p w14:paraId="11D7E197" w14:textId="5819ED5B" w:rsidR="00B709F0" w:rsidRPr="00B709F0" w:rsidRDefault="00B709F0" w:rsidP="00B709F0">
            <w:pPr>
              <w:rPr>
                <w:rFonts w:asciiTheme="minorHAnsi" w:hAnsiTheme="minorHAnsi"/>
                <w:szCs w:val="20"/>
              </w:rPr>
            </w:pPr>
            <w:r w:rsidRPr="00B709F0">
              <w:rPr>
                <w:rFonts w:asciiTheme="minorHAnsi" w:hAnsiTheme="minorHAnsi"/>
                <w:szCs w:val="20"/>
              </w:rPr>
              <w:t>applied by the agent can be found.</w:t>
            </w:r>
          </w:p>
        </w:tc>
        <w:tc>
          <w:tcPr>
            <w:tcW w:w="2522" w:type="dxa"/>
          </w:tcPr>
          <w:p w14:paraId="21F60E30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14:paraId="778B00FB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2AB18A35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065A4B41" w14:textId="77777777" w:rsidTr="00F86AC1">
        <w:tc>
          <w:tcPr>
            <w:tcW w:w="3936" w:type="dxa"/>
          </w:tcPr>
          <w:p w14:paraId="6C9420E8" w14:textId="1909A096" w:rsidR="00F86AC1" w:rsidRPr="00B709F0" w:rsidRDefault="00B709F0" w:rsidP="00B709F0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  <w:szCs w:val="20"/>
              </w:rPr>
            </w:pPr>
            <w:r>
              <w:rPr>
                <w:rFonts w:asciiTheme="minorHAnsi" w:hAnsiTheme="minorHAnsi"/>
                <w:iCs/>
                <w:szCs w:val="20"/>
              </w:rPr>
              <w:t xml:space="preserve">l) </w:t>
            </w:r>
            <w:r w:rsidRPr="00B709F0">
              <w:rPr>
                <w:rFonts w:asciiTheme="minorHAnsi" w:hAnsiTheme="minorHAnsi"/>
                <w:iCs/>
                <w:szCs w:val="20"/>
                <w:lang w:val="en-ZA"/>
              </w:rPr>
              <w:t>a warning statement regarding the credit risk of the issuer; and</w:t>
            </w:r>
          </w:p>
        </w:tc>
        <w:tc>
          <w:tcPr>
            <w:tcW w:w="2522" w:type="dxa"/>
          </w:tcPr>
          <w:p w14:paraId="09BF5281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14:paraId="0BCCD9D6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4CCD9858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58DD38EC" w14:textId="77777777" w:rsidTr="00F86AC1">
        <w:tc>
          <w:tcPr>
            <w:tcW w:w="3936" w:type="dxa"/>
          </w:tcPr>
          <w:p w14:paraId="780689AC" w14:textId="7E808C5B" w:rsidR="00B709F0" w:rsidRPr="00B709F0" w:rsidRDefault="00B709F0" w:rsidP="00B709F0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m)</w:t>
            </w:r>
            <w:r>
              <w:t xml:space="preserve"> </w:t>
            </w:r>
            <w:r w:rsidRPr="00B709F0">
              <w:rPr>
                <w:rFonts w:asciiTheme="minorHAnsi" w:hAnsiTheme="minorHAnsi"/>
                <w:szCs w:val="20"/>
              </w:rPr>
              <w:t>disclosure of the location on the issuer’s website where the detailed disclosure of the</w:t>
            </w:r>
          </w:p>
          <w:p w14:paraId="606129A0" w14:textId="2DDC7BA7" w:rsidR="00F86AC1" w:rsidRPr="00B709F0" w:rsidRDefault="00B709F0" w:rsidP="00B709F0">
            <w:pPr>
              <w:rPr>
                <w:rFonts w:asciiTheme="minorHAnsi" w:hAnsiTheme="minorHAnsi"/>
                <w:szCs w:val="20"/>
              </w:rPr>
            </w:pPr>
            <w:r w:rsidRPr="00B709F0">
              <w:rPr>
                <w:rFonts w:asciiTheme="minorHAnsi" w:hAnsiTheme="minorHAnsi"/>
                <w:szCs w:val="20"/>
              </w:rPr>
              <w:t>material risks of the issuer can be found.</w:t>
            </w:r>
          </w:p>
        </w:tc>
        <w:tc>
          <w:tcPr>
            <w:tcW w:w="2522" w:type="dxa"/>
          </w:tcPr>
          <w:p w14:paraId="0A86B632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14:paraId="6D08522F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7345D3DA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7E534172" w14:textId="77777777" w:rsidTr="00F86AC1">
        <w:tc>
          <w:tcPr>
            <w:tcW w:w="3936" w:type="dxa"/>
            <w:shd w:val="clear" w:color="auto" w:fill="BFBFBF" w:themeFill="background1" w:themeFillShade="BF"/>
          </w:tcPr>
          <w:p w14:paraId="43CB6005" w14:textId="08CC6D26" w:rsidR="00F86AC1" w:rsidRPr="00400833" w:rsidRDefault="00B709F0" w:rsidP="008947E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709F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Continuing obligations</w:t>
            </w:r>
          </w:p>
        </w:tc>
        <w:tc>
          <w:tcPr>
            <w:tcW w:w="2522" w:type="dxa"/>
            <w:shd w:val="clear" w:color="auto" w:fill="BFBFBF" w:themeFill="background1" w:themeFillShade="BF"/>
          </w:tcPr>
          <w:p w14:paraId="6C2F69FE" w14:textId="77777777" w:rsidR="00F86AC1" w:rsidRPr="00400833" w:rsidRDefault="00F86AC1" w:rsidP="008947E9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BFBFBF" w:themeFill="background1" w:themeFillShade="BF"/>
          </w:tcPr>
          <w:p w14:paraId="72022EBB" w14:textId="77777777" w:rsidR="00F86AC1" w:rsidRPr="00400833" w:rsidRDefault="00F86AC1" w:rsidP="008947E9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BFBFBF" w:themeFill="background1" w:themeFillShade="BF"/>
          </w:tcPr>
          <w:p w14:paraId="58C7A6B5" w14:textId="77777777" w:rsidR="00F86AC1" w:rsidRPr="00400833" w:rsidRDefault="00F86AC1" w:rsidP="008947E9">
            <w:pPr>
              <w:rPr>
                <w:sz w:val="16"/>
                <w:szCs w:val="16"/>
              </w:rPr>
            </w:pPr>
          </w:p>
        </w:tc>
      </w:tr>
      <w:tr w:rsidR="00F86AC1" w:rsidRPr="00400833" w14:paraId="09976E79" w14:textId="77777777" w:rsidTr="00F86AC1">
        <w:tc>
          <w:tcPr>
            <w:tcW w:w="3936" w:type="dxa"/>
          </w:tcPr>
          <w:p w14:paraId="5B02AE7E" w14:textId="5476C6FD" w:rsidR="00F86AC1" w:rsidRPr="00B709F0" w:rsidRDefault="00B709F0" w:rsidP="00B709F0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  <w:lang w:val="en-ZA"/>
              </w:rPr>
            </w:pPr>
            <w:r w:rsidRPr="00B709F0">
              <w:rPr>
                <w:rFonts w:asciiTheme="minorHAnsi" w:hAnsiTheme="minorHAnsi"/>
                <w:szCs w:val="20"/>
                <w:lang w:val="en-ZA"/>
              </w:rPr>
              <w:t>19.111 The issuer is required to comply with paragraphs 19.20, and to Section 3 to the extent applicable</w:t>
            </w:r>
            <w:r>
              <w:rPr>
                <w:rFonts w:asciiTheme="minorHAnsi" w:hAnsiTheme="minorHAnsi"/>
                <w:szCs w:val="20"/>
                <w:lang w:val="en-ZA"/>
              </w:rPr>
              <w:t xml:space="preserve"> </w:t>
            </w:r>
            <w:r w:rsidRPr="00B709F0">
              <w:rPr>
                <w:rFonts w:asciiTheme="minorHAnsi" w:hAnsiTheme="minorHAnsi"/>
                <w:szCs w:val="20"/>
                <w:lang w:val="en-ZA"/>
              </w:rPr>
              <w:t>under paragraph 19.20(</w:t>
            </w:r>
            <w:proofErr w:type="spellStart"/>
            <w:r w:rsidRPr="00B709F0">
              <w:rPr>
                <w:rFonts w:asciiTheme="minorHAnsi" w:hAnsiTheme="minorHAnsi"/>
                <w:szCs w:val="20"/>
                <w:lang w:val="en-ZA"/>
              </w:rPr>
              <w:t>i</w:t>
            </w:r>
            <w:proofErr w:type="spellEnd"/>
            <w:r w:rsidRPr="00B709F0">
              <w:rPr>
                <w:rFonts w:asciiTheme="minorHAnsi" w:hAnsiTheme="minorHAnsi"/>
                <w:szCs w:val="20"/>
                <w:lang w:val="en-ZA"/>
              </w:rPr>
              <w:t>).</w:t>
            </w:r>
          </w:p>
        </w:tc>
        <w:tc>
          <w:tcPr>
            <w:tcW w:w="2522" w:type="dxa"/>
          </w:tcPr>
          <w:p w14:paraId="10ED1030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14:paraId="7192B0F0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239AED89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29E3940D" w14:textId="77777777" w:rsidTr="00F86AC1">
        <w:tc>
          <w:tcPr>
            <w:tcW w:w="3936" w:type="dxa"/>
          </w:tcPr>
          <w:p w14:paraId="2BDBC2CD" w14:textId="77777777" w:rsidR="00D62942" w:rsidRPr="00D62942" w:rsidRDefault="00D62942" w:rsidP="00D62942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D62942">
              <w:rPr>
                <w:rFonts w:asciiTheme="minorHAnsi" w:hAnsiTheme="minorHAnsi"/>
                <w:szCs w:val="20"/>
              </w:rPr>
              <w:t>19.112 The issuer must publish on its website or any other freely available platform:</w:t>
            </w:r>
          </w:p>
          <w:p w14:paraId="28CD0964" w14:textId="77777777" w:rsidR="00D62942" w:rsidRPr="00D62942" w:rsidRDefault="00D62942" w:rsidP="00D62942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D62942">
              <w:rPr>
                <w:rFonts w:asciiTheme="minorHAnsi" w:hAnsiTheme="minorHAnsi"/>
                <w:szCs w:val="20"/>
              </w:rPr>
              <w:t xml:space="preserve">(a) the </w:t>
            </w:r>
            <w:proofErr w:type="spellStart"/>
            <w:r w:rsidRPr="00D62942">
              <w:rPr>
                <w:rFonts w:asciiTheme="minorHAnsi" w:hAnsiTheme="minorHAnsi"/>
                <w:szCs w:val="20"/>
              </w:rPr>
              <w:t>iRPV</w:t>
            </w:r>
            <w:proofErr w:type="spellEnd"/>
            <w:r w:rsidRPr="00D62942">
              <w:rPr>
                <w:rFonts w:asciiTheme="minorHAnsi" w:hAnsiTheme="minorHAnsi"/>
                <w:szCs w:val="20"/>
              </w:rPr>
              <w:t xml:space="preserve"> or the portfolio composition file of the </w:t>
            </w:r>
            <w:proofErr w:type="gramStart"/>
            <w:r w:rsidRPr="00D62942">
              <w:rPr>
                <w:rFonts w:asciiTheme="minorHAnsi" w:hAnsiTheme="minorHAnsi"/>
                <w:szCs w:val="20"/>
              </w:rPr>
              <w:t>AMC;</w:t>
            </w:r>
            <w:proofErr w:type="gramEnd"/>
          </w:p>
          <w:p w14:paraId="5CEE0FC7" w14:textId="77777777" w:rsidR="00D62942" w:rsidRPr="00D62942" w:rsidRDefault="00D62942" w:rsidP="00D62942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D62942">
              <w:rPr>
                <w:rFonts w:asciiTheme="minorHAnsi" w:hAnsiTheme="minorHAnsi"/>
                <w:szCs w:val="20"/>
              </w:rPr>
              <w:t xml:space="preserve">(b) the RPV of the portfolio after close of business each trading </w:t>
            </w:r>
            <w:proofErr w:type="gramStart"/>
            <w:r w:rsidRPr="00D62942">
              <w:rPr>
                <w:rFonts w:asciiTheme="minorHAnsi" w:hAnsiTheme="minorHAnsi"/>
                <w:szCs w:val="20"/>
              </w:rPr>
              <w:t>day;</w:t>
            </w:r>
            <w:proofErr w:type="gramEnd"/>
          </w:p>
          <w:p w14:paraId="33E025F4" w14:textId="77777777" w:rsidR="00D62942" w:rsidRPr="00D62942" w:rsidRDefault="00D62942" w:rsidP="00D62942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D62942">
              <w:rPr>
                <w:rFonts w:asciiTheme="minorHAnsi" w:hAnsiTheme="minorHAnsi"/>
                <w:szCs w:val="20"/>
              </w:rPr>
              <w:t>(c) the total cost of the AMC; and</w:t>
            </w:r>
          </w:p>
          <w:p w14:paraId="1DFA7054" w14:textId="219A3759" w:rsidR="00F86AC1" w:rsidRPr="00B709F0" w:rsidRDefault="00D62942" w:rsidP="00D62942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D62942">
              <w:rPr>
                <w:rFonts w:asciiTheme="minorHAnsi" w:hAnsiTheme="minorHAnsi"/>
                <w:szCs w:val="20"/>
              </w:rPr>
              <w:t>(d) a monthly fact sheet of the portfolio pursuant to Form K of Schedule 2. The prescribed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Pr="00D62942">
              <w:rPr>
                <w:rFonts w:asciiTheme="minorHAnsi" w:hAnsiTheme="minorHAnsi"/>
                <w:szCs w:val="20"/>
              </w:rPr>
              <w:t>fact sheet must be made available on the issuer’s website within 30 days of the month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Pr="00D62942">
              <w:rPr>
                <w:rFonts w:asciiTheme="minorHAnsi" w:hAnsiTheme="minorHAnsi"/>
                <w:szCs w:val="20"/>
              </w:rPr>
              <w:t>end. At the time the fact sheet is made available on the issuer’s website, the issuer must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Pr="00D62942">
              <w:rPr>
                <w:rFonts w:asciiTheme="minorHAnsi" w:hAnsiTheme="minorHAnsi"/>
                <w:szCs w:val="20"/>
              </w:rPr>
              <w:t>immediately announce the availability of the fact sheet on SENS with a weblink to the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Pr="00D62942">
              <w:rPr>
                <w:rFonts w:asciiTheme="minorHAnsi" w:hAnsiTheme="minorHAnsi"/>
                <w:szCs w:val="20"/>
              </w:rPr>
              <w:t>issuer’s website.</w:t>
            </w:r>
          </w:p>
        </w:tc>
        <w:tc>
          <w:tcPr>
            <w:tcW w:w="2522" w:type="dxa"/>
          </w:tcPr>
          <w:p w14:paraId="2BB3FC64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14:paraId="32E652CF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490397CE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15982ECE" w14:textId="77777777" w:rsidTr="00F86AC1">
        <w:tc>
          <w:tcPr>
            <w:tcW w:w="3936" w:type="dxa"/>
          </w:tcPr>
          <w:p w14:paraId="73FD4A28" w14:textId="245036DE" w:rsidR="00F86AC1" w:rsidRPr="00D62942" w:rsidRDefault="00D62942" w:rsidP="00D62942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D62942">
              <w:rPr>
                <w:rFonts w:asciiTheme="minorHAnsi" w:hAnsiTheme="minorHAnsi"/>
                <w:szCs w:val="20"/>
              </w:rPr>
              <w:t>19.113 The issuer must publish on SENS any change in the bid and offer spread, where an agent is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Pr="00D62942">
              <w:rPr>
                <w:rFonts w:asciiTheme="minorHAnsi" w:hAnsiTheme="minorHAnsi"/>
                <w:szCs w:val="20"/>
              </w:rPr>
              <w:t>appointed pursuant to paragraph 19.118(b).</w:t>
            </w:r>
          </w:p>
        </w:tc>
        <w:tc>
          <w:tcPr>
            <w:tcW w:w="2522" w:type="dxa"/>
          </w:tcPr>
          <w:p w14:paraId="5712D6FE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14:paraId="08CEAEDC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7C16E690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76688D3B" w14:textId="77777777" w:rsidTr="00F86AC1">
        <w:tc>
          <w:tcPr>
            <w:tcW w:w="3936" w:type="dxa"/>
          </w:tcPr>
          <w:p w14:paraId="0A485E7E" w14:textId="49A9E915" w:rsidR="00F86AC1" w:rsidRPr="00D62942" w:rsidRDefault="00D62942" w:rsidP="00D62942">
            <w:pPr>
              <w:rPr>
                <w:rFonts w:asciiTheme="minorHAnsi" w:hAnsiTheme="minorHAnsi"/>
                <w:szCs w:val="20"/>
                <w:lang w:val="en-ZA"/>
              </w:rPr>
            </w:pPr>
            <w:r w:rsidRPr="00D62942">
              <w:rPr>
                <w:rFonts w:asciiTheme="minorHAnsi" w:hAnsiTheme="minorHAnsi"/>
                <w:szCs w:val="20"/>
                <w:lang w:val="en-ZA"/>
              </w:rPr>
              <w:t xml:space="preserve">19.114 The issuer must inform the JSE immediately when the publication of the </w:t>
            </w:r>
            <w:proofErr w:type="spellStart"/>
            <w:r w:rsidRPr="00D62942">
              <w:rPr>
                <w:rFonts w:asciiTheme="minorHAnsi" w:hAnsiTheme="minorHAnsi"/>
                <w:szCs w:val="20"/>
                <w:lang w:val="en-ZA"/>
              </w:rPr>
              <w:t>iRPV</w:t>
            </w:r>
            <w:proofErr w:type="spellEnd"/>
            <w:r w:rsidRPr="00D62942">
              <w:rPr>
                <w:rFonts w:asciiTheme="minorHAnsi" w:hAnsiTheme="minorHAnsi"/>
                <w:szCs w:val="20"/>
                <w:lang w:val="en-ZA"/>
              </w:rPr>
              <w:t xml:space="preserve"> has been halted.</w:t>
            </w:r>
            <w:r>
              <w:rPr>
                <w:rFonts w:asciiTheme="minorHAnsi" w:hAnsiTheme="minorHAnsi"/>
                <w:szCs w:val="20"/>
                <w:lang w:val="en-ZA"/>
              </w:rPr>
              <w:t xml:space="preserve"> </w:t>
            </w:r>
            <w:r w:rsidRPr="00D62942">
              <w:rPr>
                <w:rFonts w:asciiTheme="minorHAnsi" w:hAnsiTheme="minorHAnsi"/>
                <w:szCs w:val="20"/>
                <w:lang w:val="en-ZA"/>
              </w:rPr>
              <w:t>The JSE will consider suspension of the listing of the AMC and, if trading is suspended, will lift</w:t>
            </w:r>
            <w:r>
              <w:rPr>
                <w:rFonts w:asciiTheme="minorHAnsi" w:hAnsiTheme="minorHAnsi"/>
                <w:szCs w:val="20"/>
                <w:lang w:val="en-ZA"/>
              </w:rPr>
              <w:t xml:space="preserve"> </w:t>
            </w:r>
            <w:r w:rsidRPr="00D62942">
              <w:rPr>
                <w:rFonts w:asciiTheme="minorHAnsi" w:hAnsiTheme="minorHAnsi"/>
                <w:szCs w:val="20"/>
                <w:lang w:val="en-ZA"/>
              </w:rPr>
              <w:t xml:space="preserve">the suspension once the </w:t>
            </w:r>
            <w:proofErr w:type="spellStart"/>
            <w:r w:rsidRPr="00D62942">
              <w:rPr>
                <w:rFonts w:asciiTheme="minorHAnsi" w:hAnsiTheme="minorHAnsi"/>
                <w:szCs w:val="20"/>
                <w:lang w:val="en-ZA"/>
              </w:rPr>
              <w:t>iRPV</w:t>
            </w:r>
            <w:proofErr w:type="spellEnd"/>
            <w:r w:rsidRPr="00D62942">
              <w:rPr>
                <w:rFonts w:asciiTheme="minorHAnsi" w:hAnsiTheme="minorHAnsi"/>
                <w:szCs w:val="20"/>
                <w:lang w:val="en-ZA"/>
              </w:rPr>
              <w:t xml:space="preserve"> publication has been resumed.</w:t>
            </w:r>
          </w:p>
        </w:tc>
        <w:tc>
          <w:tcPr>
            <w:tcW w:w="2522" w:type="dxa"/>
          </w:tcPr>
          <w:p w14:paraId="155DD075" w14:textId="77777777" w:rsidR="00F86AC1" w:rsidRPr="00400833" w:rsidRDefault="00F86AC1" w:rsidP="008947E9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14:paraId="4B12D353" w14:textId="77777777" w:rsidR="00F86AC1" w:rsidRPr="00400833" w:rsidRDefault="00F86AC1" w:rsidP="008947E9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</w:tcPr>
          <w:p w14:paraId="2C41E12F" w14:textId="77777777" w:rsidR="00F86AC1" w:rsidRPr="00400833" w:rsidRDefault="00F86AC1" w:rsidP="008947E9">
            <w:pPr>
              <w:rPr>
                <w:sz w:val="16"/>
                <w:szCs w:val="16"/>
              </w:rPr>
            </w:pPr>
          </w:p>
        </w:tc>
      </w:tr>
      <w:tr w:rsidR="00F86AC1" w:rsidRPr="00400833" w14:paraId="428630DE" w14:textId="77777777" w:rsidTr="00F86AC1">
        <w:tc>
          <w:tcPr>
            <w:tcW w:w="3936" w:type="dxa"/>
          </w:tcPr>
          <w:p w14:paraId="23FF0360" w14:textId="3F92A09B" w:rsidR="00F86AC1" w:rsidRPr="00D62942" w:rsidRDefault="00D62942" w:rsidP="00D62942">
            <w:pPr>
              <w:rPr>
                <w:rFonts w:asciiTheme="minorHAnsi" w:hAnsiTheme="minorHAnsi"/>
                <w:szCs w:val="20"/>
                <w:lang w:val="en-ZA"/>
              </w:rPr>
            </w:pPr>
            <w:r w:rsidRPr="00D62942">
              <w:rPr>
                <w:rFonts w:asciiTheme="minorHAnsi" w:hAnsiTheme="minorHAnsi"/>
                <w:szCs w:val="20"/>
                <w:lang w:val="en-ZA"/>
              </w:rPr>
              <w:t>19.115 The issuer must inform the JSE immediately of any leak of information with respect to the</w:t>
            </w:r>
            <w:r>
              <w:rPr>
                <w:rFonts w:asciiTheme="minorHAnsi" w:hAnsiTheme="minorHAnsi"/>
                <w:szCs w:val="20"/>
                <w:lang w:val="en-ZA"/>
              </w:rPr>
              <w:t xml:space="preserve"> </w:t>
            </w:r>
            <w:r w:rsidRPr="00D62942">
              <w:rPr>
                <w:rFonts w:asciiTheme="minorHAnsi" w:hAnsiTheme="minorHAnsi"/>
                <w:szCs w:val="20"/>
                <w:lang w:val="en-ZA"/>
              </w:rPr>
              <w:t>underlying constituents and weightings of the portfolio.</w:t>
            </w:r>
          </w:p>
        </w:tc>
        <w:tc>
          <w:tcPr>
            <w:tcW w:w="2522" w:type="dxa"/>
          </w:tcPr>
          <w:p w14:paraId="093145EE" w14:textId="77777777" w:rsidR="00F86AC1" w:rsidRPr="00400833" w:rsidRDefault="00F86AC1" w:rsidP="008947E9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14:paraId="42547CF3" w14:textId="77777777" w:rsidR="00F86AC1" w:rsidRPr="00400833" w:rsidRDefault="00F86AC1" w:rsidP="008947E9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</w:tcPr>
          <w:p w14:paraId="3E4A46AD" w14:textId="77777777" w:rsidR="00F86AC1" w:rsidRPr="00400833" w:rsidRDefault="00F86AC1" w:rsidP="008947E9">
            <w:pPr>
              <w:rPr>
                <w:sz w:val="16"/>
                <w:szCs w:val="16"/>
              </w:rPr>
            </w:pPr>
          </w:p>
        </w:tc>
      </w:tr>
      <w:tr w:rsidR="00F86AC1" w:rsidRPr="00400833" w14:paraId="158F8797" w14:textId="77777777" w:rsidTr="00F86AC1">
        <w:tc>
          <w:tcPr>
            <w:tcW w:w="3936" w:type="dxa"/>
          </w:tcPr>
          <w:p w14:paraId="310D7C35" w14:textId="3971FDCE" w:rsidR="00F86AC1" w:rsidRPr="00D62942" w:rsidRDefault="00D62942" w:rsidP="00D629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Cs w:val="20"/>
                <w:lang w:val="en-ZA"/>
              </w:rPr>
            </w:pPr>
            <w:r w:rsidRPr="00D62942">
              <w:rPr>
                <w:rFonts w:asciiTheme="minorHAnsi" w:eastAsiaTheme="minorHAnsi" w:hAnsiTheme="minorHAnsi" w:cstheme="minorHAnsi"/>
                <w:szCs w:val="20"/>
                <w:lang w:val="en-ZA"/>
              </w:rPr>
              <w:t>19.116 The issuer must confirm to the JSE annually, in the certificate pursuant to paragraph 1.20, that</w:t>
            </w:r>
            <w:r w:rsidRPr="00D62942">
              <w:rPr>
                <w:rFonts w:asciiTheme="minorHAnsi" w:eastAsiaTheme="minorHAnsi" w:hAnsiTheme="minorHAnsi" w:cstheme="minorHAnsi"/>
                <w:szCs w:val="20"/>
                <w:lang w:val="en-ZA"/>
              </w:rPr>
              <w:t xml:space="preserve"> </w:t>
            </w:r>
            <w:r w:rsidRPr="00D62942">
              <w:rPr>
                <w:rFonts w:asciiTheme="minorHAnsi" w:eastAsiaTheme="minorHAnsi" w:hAnsiTheme="minorHAnsi" w:cstheme="minorHAnsi"/>
                <w:szCs w:val="20"/>
                <w:lang w:val="en-ZA"/>
              </w:rPr>
              <w:t>the reference portfolio manager has complied with the investment mandate of the portfolio and</w:t>
            </w:r>
            <w:r w:rsidRPr="00D62942">
              <w:rPr>
                <w:rFonts w:asciiTheme="minorHAnsi" w:eastAsiaTheme="minorHAnsi" w:hAnsiTheme="minorHAnsi" w:cstheme="minorHAnsi"/>
                <w:szCs w:val="20"/>
                <w:lang w:val="en-ZA"/>
              </w:rPr>
              <w:t xml:space="preserve"> </w:t>
            </w:r>
            <w:r w:rsidRPr="00D62942">
              <w:rPr>
                <w:rFonts w:asciiTheme="minorHAnsi" w:eastAsiaTheme="minorHAnsi" w:hAnsiTheme="minorHAnsi" w:cstheme="minorHAnsi"/>
                <w:szCs w:val="20"/>
                <w:lang w:val="en-ZA"/>
              </w:rPr>
              <w:t>the JSE Listing Requirements</w:t>
            </w:r>
          </w:p>
        </w:tc>
        <w:tc>
          <w:tcPr>
            <w:tcW w:w="2522" w:type="dxa"/>
          </w:tcPr>
          <w:p w14:paraId="6D62C2A3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14:paraId="00D1C8B3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0B0D3AA5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D62942" w:rsidRPr="00400833" w14:paraId="48E3A93F" w14:textId="77777777" w:rsidTr="00F86AC1">
        <w:tc>
          <w:tcPr>
            <w:tcW w:w="3936" w:type="dxa"/>
          </w:tcPr>
          <w:p w14:paraId="0D923FBC" w14:textId="7817F128" w:rsidR="00D62942" w:rsidRPr="00D62942" w:rsidRDefault="00D62942" w:rsidP="00D62942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  <w:r w:rsidRPr="00D62942">
              <w:rPr>
                <w:rFonts w:asciiTheme="minorHAnsi" w:hAnsiTheme="minorHAnsi"/>
                <w:szCs w:val="20"/>
              </w:rPr>
              <w:lastRenderedPageBreak/>
              <w:t>19.117 Distributions, if applicable, made to the AMC holders must be announced through SENS in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Pr="00D62942">
              <w:rPr>
                <w:rFonts w:asciiTheme="minorHAnsi" w:hAnsiTheme="minorHAnsi"/>
                <w:szCs w:val="20"/>
              </w:rPr>
              <w:t>accordance with the corporate action timetable pursuant to Schedule 2 Form H1.</w:t>
            </w:r>
          </w:p>
        </w:tc>
        <w:tc>
          <w:tcPr>
            <w:tcW w:w="2522" w:type="dxa"/>
          </w:tcPr>
          <w:p w14:paraId="3EA3BCC7" w14:textId="77777777" w:rsidR="00D62942" w:rsidRPr="00400833" w:rsidRDefault="00D62942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14:paraId="2A8E01F3" w14:textId="77777777" w:rsidR="00D62942" w:rsidRPr="00400833" w:rsidRDefault="00D62942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24ED9115" w14:textId="77777777" w:rsidR="00D62942" w:rsidRPr="00400833" w:rsidRDefault="00D62942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1059EA24" w14:textId="77777777" w:rsidTr="00F86AC1">
        <w:tc>
          <w:tcPr>
            <w:tcW w:w="3936" w:type="dxa"/>
            <w:shd w:val="clear" w:color="auto" w:fill="BFBFBF" w:themeFill="background1" w:themeFillShade="BF"/>
          </w:tcPr>
          <w:p w14:paraId="3E515AF3" w14:textId="6FEE107B" w:rsidR="00F86AC1" w:rsidRPr="00D62942" w:rsidRDefault="00D62942" w:rsidP="008947E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Cs w:val="20"/>
              </w:rPr>
            </w:pPr>
            <w:r w:rsidRPr="00D62942">
              <w:rPr>
                <w:rFonts w:asciiTheme="minorHAnsi" w:hAnsiTheme="minorHAnsi"/>
                <w:b/>
                <w:bCs/>
                <w:szCs w:val="20"/>
              </w:rPr>
              <w:t>Liquidity requirements</w:t>
            </w:r>
          </w:p>
        </w:tc>
        <w:tc>
          <w:tcPr>
            <w:tcW w:w="2522" w:type="dxa"/>
            <w:shd w:val="clear" w:color="auto" w:fill="BFBFBF" w:themeFill="background1" w:themeFillShade="BF"/>
          </w:tcPr>
          <w:p w14:paraId="521AE91E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BFBFBF" w:themeFill="background1" w:themeFillShade="BF"/>
          </w:tcPr>
          <w:p w14:paraId="6D6DF4F8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BFBFBF" w:themeFill="background1" w:themeFillShade="BF"/>
          </w:tcPr>
          <w:p w14:paraId="2E5BBC77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  <w:tr w:rsidR="00F86AC1" w:rsidRPr="00400833" w14:paraId="63054B8D" w14:textId="77777777" w:rsidTr="00F86AC1">
        <w:tc>
          <w:tcPr>
            <w:tcW w:w="3936" w:type="dxa"/>
          </w:tcPr>
          <w:p w14:paraId="79477009" w14:textId="5390A97C" w:rsidR="00CB07CD" w:rsidRPr="00CB07CD" w:rsidRDefault="00CB07CD" w:rsidP="00CB07CD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  <w:lang w:val="en-ZA"/>
              </w:rPr>
            </w:pPr>
            <w:r w:rsidRPr="00CB07CD">
              <w:rPr>
                <w:rFonts w:asciiTheme="minorHAnsi" w:hAnsiTheme="minorHAnsi"/>
                <w:szCs w:val="20"/>
                <w:lang w:val="en-ZA"/>
              </w:rPr>
              <w:t>19.118 An issuer must either appoint a market maker or an agent subject to meeting the requirements</w:t>
            </w:r>
            <w:r>
              <w:rPr>
                <w:rFonts w:asciiTheme="minorHAnsi" w:hAnsiTheme="minorHAnsi"/>
                <w:szCs w:val="20"/>
                <w:lang w:val="en-ZA"/>
              </w:rPr>
              <w:t xml:space="preserve"> </w:t>
            </w:r>
            <w:r w:rsidRPr="00CB07CD">
              <w:rPr>
                <w:rFonts w:asciiTheme="minorHAnsi" w:hAnsiTheme="minorHAnsi"/>
                <w:szCs w:val="20"/>
                <w:lang w:val="en-ZA"/>
              </w:rPr>
              <w:t>below. The issuer must confirm to the JSE that the necessary procedures are in place to ensure</w:t>
            </w:r>
          </w:p>
          <w:p w14:paraId="18496D96" w14:textId="22B18155" w:rsidR="00CB07CD" w:rsidRPr="00CB07CD" w:rsidRDefault="00CB07CD" w:rsidP="00CB07CD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  <w:lang w:val="en-ZA"/>
              </w:rPr>
            </w:pPr>
            <w:r w:rsidRPr="00CB07CD">
              <w:rPr>
                <w:rFonts w:asciiTheme="minorHAnsi" w:hAnsiTheme="minorHAnsi"/>
                <w:szCs w:val="20"/>
                <w:lang w:val="en-ZA"/>
              </w:rPr>
              <w:t>that the market maker or agent will only provide the liquidity in the market based on information</w:t>
            </w:r>
            <w:r>
              <w:rPr>
                <w:rFonts w:asciiTheme="minorHAnsi" w:hAnsiTheme="minorHAnsi"/>
                <w:szCs w:val="20"/>
                <w:lang w:val="en-ZA"/>
              </w:rPr>
              <w:t xml:space="preserve"> </w:t>
            </w:r>
            <w:r w:rsidRPr="00CB07CD">
              <w:rPr>
                <w:rFonts w:asciiTheme="minorHAnsi" w:hAnsiTheme="minorHAnsi"/>
                <w:szCs w:val="20"/>
                <w:lang w:val="en-ZA"/>
              </w:rPr>
              <w:t>available in the public domain to comply with the provisions of the FMA.</w:t>
            </w:r>
          </w:p>
          <w:p w14:paraId="53FDC458" w14:textId="0EBB6FAD" w:rsidR="00CB07CD" w:rsidRPr="00CB07CD" w:rsidRDefault="00CB07CD" w:rsidP="00CB07CD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  <w:lang w:val="en-ZA"/>
              </w:rPr>
            </w:pPr>
            <w:r w:rsidRPr="00CB07CD">
              <w:rPr>
                <w:rFonts w:asciiTheme="minorHAnsi" w:hAnsiTheme="minorHAnsi"/>
                <w:szCs w:val="20"/>
                <w:lang w:val="en-ZA"/>
              </w:rPr>
              <w:t>(a) Appointment of a market maker as principal</w:t>
            </w:r>
            <w:r>
              <w:rPr>
                <w:rFonts w:asciiTheme="minorHAnsi" w:hAnsiTheme="minorHAnsi"/>
                <w:szCs w:val="20"/>
                <w:lang w:val="en-ZA"/>
              </w:rPr>
              <w:t>.</w:t>
            </w:r>
          </w:p>
          <w:p w14:paraId="00941542" w14:textId="0EEB20A9" w:rsidR="00CB07CD" w:rsidRPr="00CB07CD" w:rsidRDefault="00CB07CD" w:rsidP="00CB07CD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  <w:lang w:val="en-ZA"/>
              </w:rPr>
            </w:pPr>
            <w:r w:rsidRPr="00CB07CD">
              <w:rPr>
                <w:rFonts w:asciiTheme="minorHAnsi" w:hAnsiTheme="minorHAnsi"/>
                <w:szCs w:val="20"/>
                <w:lang w:val="en-ZA"/>
              </w:rPr>
              <w:t>The market maker must be appointed pursuant to paragraph 19.11. If the market maker is not</w:t>
            </w:r>
            <w:r>
              <w:rPr>
                <w:rFonts w:asciiTheme="minorHAnsi" w:hAnsiTheme="minorHAnsi"/>
                <w:szCs w:val="20"/>
                <w:lang w:val="en-ZA"/>
              </w:rPr>
              <w:t xml:space="preserve"> </w:t>
            </w:r>
            <w:proofErr w:type="gramStart"/>
            <w:r w:rsidRPr="00CB07CD">
              <w:rPr>
                <w:rFonts w:asciiTheme="minorHAnsi" w:hAnsiTheme="minorHAnsi"/>
                <w:szCs w:val="20"/>
                <w:lang w:val="en-ZA"/>
              </w:rPr>
              <w:t>in a position</w:t>
            </w:r>
            <w:proofErr w:type="gramEnd"/>
            <w:r w:rsidRPr="00CB07CD">
              <w:rPr>
                <w:rFonts w:asciiTheme="minorHAnsi" w:hAnsiTheme="minorHAnsi"/>
                <w:szCs w:val="20"/>
                <w:lang w:val="en-ZA"/>
              </w:rPr>
              <w:t xml:space="preserve"> to provide the liquidity based on the </w:t>
            </w:r>
            <w:proofErr w:type="spellStart"/>
            <w:r w:rsidRPr="00CB07CD">
              <w:rPr>
                <w:rFonts w:asciiTheme="minorHAnsi" w:hAnsiTheme="minorHAnsi"/>
                <w:szCs w:val="20"/>
                <w:lang w:val="en-ZA"/>
              </w:rPr>
              <w:t>iRPV</w:t>
            </w:r>
            <w:proofErr w:type="spellEnd"/>
            <w:r w:rsidRPr="00CB07CD">
              <w:rPr>
                <w:rFonts w:asciiTheme="minorHAnsi" w:hAnsiTheme="minorHAnsi"/>
                <w:szCs w:val="20"/>
                <w:lang w:val="en-ZA"/>
              </w:rPr>
              <w:t xml:space="preserve"> only, the issuer must publish the portfolio</w:t>
            </w:r>
            <w:r>
              <w:rPr>
                <w:rFonts w:asciiTheme="minorHAnsi" w:hAnsiTheme="minorHAnsi"/>
                <w:szCs w:val="20"/>
                <w:lang w:val="en-ZA"/>
              </w:rPr>
              <w:t xml:space="preserve"> </w:t>
            </w:r>
            <w:r w:rsidRPr="00CB07CD">
              <w:rPr>
                <w:rFonts w:asciiTheme="minorHAnsi" w:hAnsiTheme="minorHAnsi"/>
                <w:szCs w:val="20"/>
                <w:lang w:val="en-ZA"/>
              </w:rPr>
              <w:t>composition file on a daily basis.</w:t>
            </w:r>
          </w:p>
          <w:p w14:paraId="4C0022DF" w14:textId="77777777" w:rsidR="00CB07CD" w:rsidRPr="00CB07CD" w:rsidRDefault="00CB07CD" w:rsidP="00CB07CD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  <w:lang w:val="en-ZA"/>
              </w:rPr>
            </w:pPr>
            <w:r w:rsidRPr="00CB07CD">
              <w:rPr>
                <w:rFonts w:asciiTheme="minorHAnsi" w:hAnsiTheme="minorHAnsi"/>
                <w:szCs w:val="20"/>
                <w:lang w:val="en-ZA"/>
              </w:rPr>
              <w:t>(b) Appointment of agent</w:t>
            </w:r>
          </w:p>
          <w:p w14:paraId="64781070" w14:textId="44F50327" w:rsidR="00F86AC1" w:rsidRPr="00CB07CD" w:rsidRDefault="00CB07CD" w:rsidP="00CB07CD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  <w:lang w:val="en-ZA"/>
              </w:rPr>
            </w:pPr>
            <w:r w:rsidRPr="00CB07CD">
              <w:rPr>
                <w:rFonts w:asciiTheme="minorHAnsi" w:hAnsiTheme="minorHAnsi"/>
                <w:szCs w:val="20"/>
                <w:lang w:val="en-ZA"/>
              </w:rPr>
              <w:t xml:space="preserve">The issuer may only appoint an agent where no portfolio composition file is published </w:t>
            </w:r>
            <w:proofErr w:type="gramStart"/>
            <w:r w:rsidRPr="00CB07CD">
              <w:rPr>
                <w:rFonts w:asciiTheme="minorHAnsi" w:hAnsiTheme="minorHAnsi"/>
                <w:szCs w:val="20"/>
                <w:lang w:val="en-ZA"/>
              </w:rPr>
              <w:t>on a daily</w:t>
            </w:r>
            <w:r>
              <w:rPr>
                <w:rFonts w:asciiTheme="minorHAnsi" w:hAnsiTheme="minorHAnsi"/>
                <w:szCs w:val="20"/>
                <w:lang w:val="en-ZA"/>
              </w:rPr>
              <w:t xml:space="preserve"> </w:t>
            </w:r>
            <w:r w:rsidRPr="00CB07CD">
              <w:rPr>
                <w:rFonts w:asciiTheme="minorHAnsi" w:hAnsiTheme="minorHAnsi"/>
                <w:szCs w:val="20"/>
                <w:lang w:val="en-ZA"/>
              </w:rPr>
              <w:t>basis</w:t>
            </w:r>
            <w:proofErr w:type="gramEnd"/>
            <w:r w:rsidRPr="00CB07CD">
              <w:rPr>
                <w:rFonts w:asciiTheme="minorHAnsi" w:hAnsiTheme="minorHAnsi"/>
                <w:szCs w:val="20"/>
                <w:lang w:val="en-ZA"/>
              </w:rPr>
              <w:t xml:space="preserve">. If an issuer elects to publish the portfolio composition file </w:t>
            </w:r>
            <w:proofErr w:type="gramStart"/>
            <w:r w:rsidRPr="00CB07CD">
              <w:rPr>
                <w:rFonts w:asciiTheme="minorHAnsi" w:hAnsiTheme="minorHAnsi"/>
                <w:szCs w:val="20"/>
                <w:lang w:val="en-ZA"/>
              </w:rPr>
              <w:t>on a daily basis</w:t>
            </w:r>
            <w:proofErr w:type="gramEnd"/>
            <w:r w:rsidRPr="00CB07CD">
              <w:rPr>
                <w:rFonts w:asciiTheme="minorHAnsi" w:hAnsiTheme="minorHAnsi"/>
                <w:szCs w:val="20"/>
                <w:lang w:val="en-ZA"/>
              </w:rPr>
              <w:t>, then it must</w:t>
            </w:r>
            <w:r>
              <w:rPr>
                <w:rFonts w:asciiTheme="minorHAnsi" w:hAnsiTheme="minorHAnsi"/>
                <w:szCs w:val="20"/>
                <w:lang w:val="en-ZA"/>
              </w:rPr>
              <w:t xml:space="preserve"> </w:t>
            </w:r>
            <w:r w:rsidRPr="00CB07CD">
              <w:rPr>
                <w:rFonts w:asciiTheme="minorHAnsi" w:hAnsiTheme="minorHAnsi"/>
                <w:szCs w:val="20"/>
                <w:lang w:val="en-ZA"/>
              </w:rPr>
              <w:t>immediately appoint a market maker referred to in (a) above.</w:t>
            </w:r>
          </w:p>
        </w:tc>
        <w:tc>
          <w:tcPr>
            <w:tcW w:w="2522" w:type="dxa"/>
          </w:tcPr>
          <w:p w14:paraId="6D1B7CB7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14:paraId="528C6520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14:paraId="6F106526" w14:textId="77777777" w:rsidR="00F86AC1" w:rsidRPr="00400833" w:rsidRDefault="00F86AC1" w:rsidP="008947E9">
            <w:pPr>
              <w:rPr>
                <w:b/>
                <w:sz w:val="16"/>
                <w:szCs w:val="16"/>
              </w:rPr>
            </w:pPr>
          </w:p>
        </w:tc>
      </w:tr>
    </w:tbl>
    <w:p w14:paraId="74524799" w14:textId="77777777" w:rsidR="00F86AC1" w:rsidRDefault="00F86AC1" w:rsidP="00035935"/>
    <w:p w14:paraId="1391AEE6" w14:textId="77777777" w:rsidR="00404C9B" w:rsidRPr="00035935" w:rsidRDefault="00404C9B" w:rsidP="00035935"/>
    <w:sectPr w:rsidR="00404C9B" w:rsidRPr="00035935" w:rsidSect="00404C9B">
      <w:pgSz w:w="15840" w:h="12240" w:orient="landscape" w:code="1"/>
      <w:pgMar w:top="1134" w:right="1418" w:bottom="1134" w:left="1418" w:header="0" w:footer="17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841"/>
    <w:multiLevelType w:val="hybridMultilevel"/>
    <w:tmpl w:val="9F144290"/>
    <w:lvl w:ilvl="0" w:tplc="1C82EA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898"/>
    <w:multiLevelType w:val="hybridMultilevel"/>
    <w:tmpl w:val="62188D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5453"/>
    <w:multiLevelType w:val="hybridMultilevel"/>
    <w:tmpl w:val="0F6A954C"/>
    <w:lvl w:ilvl="0" w:tplc="32E03EB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1672B"/>
    <w:multiLevelType w:val="hybridMultilevel"/>
    <w:tmpl w:val="729409A0"/>
    <w:lvl w:ilvl="0" w:tplc="4C88683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B70EF8"/>
    <w:multiLevelType w:val="hybridMultilevel"/>
    <w:tmpl w:val="AB960A0E"/>
    <w:lvl w:ilvl="0" w:tplc="F5568F1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B1335"/>
    <w:multiLevelType w:val="hybridMultilevel"/>
    <w:tmpl w:val="32BA72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04439"/>
    <w:multiLevelType w:val="hybridMultilevel"/>
    <w:tmpl w:val="BC84B2D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B57AA"/>
    <w:multiLevelType w:val="hybridMultilevel"/>
    <w:tmpl w:val="31AAA84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03F35"/>
    <w:multiLevelType w:val="hybridMultilevel"/>
    <w:tmpl w:val="32BA72F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D2905"/>
    <w:multiLevelType w:val="hybridMultilevel"/>
    <w:tmpl w:val="27648B02"/>
    <w:lvl w:ilvl="0" w:tplc="A2E601D2">
      <w:start w:val="15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AD73E5"/>
    <w:multiLevelType w:val="hybridMultilevel"/>
    <w:tmpl w:val="31AAA84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F7E26"/>
    <w:multiLevelType w:val="hybridMultilevel"/>
    <w:tmpl w:val="EEE45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A95173"/>
    <w:multiLevelType w:val="hybridMultilevel"/>
    <w:tmpl w:val="AB960A0E"/>
    <w:lvl w:ilvl="0" w:tplc="F5568F1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F7C7C"/>
    <w:multiLevelType w:val="hybridMultilevel"/>
    <w:tmpl w:val="DFD6C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347C2"/>
    <w:multiLevelType w:val="hybridMultilevel"/>
    <w:tmpl w:val="C964A14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5F129D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B12A1"/>
    <w:multiLevelType w:val="hybridMultilevel"/>
    <w:tmpl w:val="D612FF8E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F369B6"/>
    <w:multiLevelType w:val="hybridMultilevel"/>
    <w:tmpl w:val="95544F84"/>
    <w:lvl w:ilvl="0" w:tplc="1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57A9460A"/>
    <w:multiLevelType w:val="hybridMultilevel"/>
    <w:tmpl w:val="676AE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05847"/>
    <w:multiLevelType w:val="hybridMultilevel"/>
    <w:tmpl w:val="C44E6A98"/>
    <w:lvl w:ilvl="0" w:tplc="2C88E0C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5666B6"/>
    <w:multiLevelType w:val="hybridMultilevel"/>
    <w:tmpl w:val="2B5A9A16"/>
    <w:lvl w:ilvl="0" w:tplc="A59258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65078D"/>
    <w:multiLevelType w:val="hybridMultilevel"/>
    <w:tmpl w:val="C62E4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614E1"/>
    <w:multiLevelType w:val="hybridMultilevel"/>
    <w:tmpl w:val="25C68EC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720DF"/>
    <w:multiLevelType w:val="hybridMultilevel"/>
    <w:tmpl w:val="86D88288"/>
    <w:lvl w:ilvl="0" w:tplc="F0569C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872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517232">
    <w:abstractNumId w:val="10"/>
  </w:num>
  <w:num w:numId="3" w16cid:durableId="674067151">
    <w:abstractNumId w:val="15"/>
  </w:num>
  <w:num w:numId="4" w16cid:durableId="978655961">
    <w:abstractNumId w:val="13"/>
  </w:num>
  <w:num w:numId="5" w16cid:durableId="572549801">
    <w:abstractNumId w:val="7"/>
  </w:num>
  <w:num w:numId="6" w16cid:durableId="885066335">
    <w:abstractNumId w:val="4"/>
  </w:num>
  <w:num w:numId="7" w16cid:durableId="307367432">
    <w:abstractNumId w:val="8"/>
  </w:num>
  <w:num w:numId="8" w16cid:durableId="785929736">
    <w:abstractNumId w:val="11"/>
  </w:num>
  <w:num w:numId="9" w16cid:durableId="560168253">
    <w:abstractNumId w:val="23"/>
  </w:num>
  <w:num w:numId="10" w16cid:durableId="814613615">
    <w:abstractNumId w:val="2"/>
  </w:num>
  <w:num w:numId="11" w16cid:durableId="2056419689">
    <w:abstractNumId w:val="9"/>
  </w:num>
  <w:num w:numId="12" w16cid:durableId="786049235">
    <w:abstractNumId w:val="1"/>
  </w:num>
  <w:num w:numId="13" w16cid:durableId="1092970819">
    <w:abstractNumId w:val="22"/>
  </w:num>
  <w:num w:numId="14" w16cid:durableId="1956208891">
    <w:abstractNumId w:val="17"/>
  </w:num>
  <w:num w:numId="15" w16cid:durableId="1707103719">
    <w:abstractNumId w:val="19"/>
  </w:num>
  <w:num w:numId="16" w16cid:durableId="2000234214">
    <w:abstractNumId w:val="14"/>
  </w:num>
  <w:num w:numId="17" w16cid:durableId="708997908">
    <w:abstractNumId w:val="21"/>
  </w:num>
  <w:num w:numId="18" w16cid:durableId="1444183137">
    <w:abstractNumId w:val="18"/>
  </w:num>
  <w:num w:numId="19" w16cid:durableId="983581646">
    <w:abstractNumId w:val="20"/>
  </w:num>
  <w:num w:numId="20" w16cid:durableId="2096436426">
    <w:abstractNumId w:val="16"/>
  </w:num>
  <w:num w:numId="21" w16cid:durableId="1773546923">
    <w:abstractNumId w:val="3"/>
  </w:num>
  <w:num w:numId="22" w16cid:durableId="1900901650">
    <w:abstractNumId w:val="5"/>
  </w:num>
  <w:num w:numId="23" w16cid:durableId="405955189">
    <w:abstractNumId w:val="6"/>
  </w:num>
  <w:num w:numId="24" w16cid:durableId="58033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06"/>
    <w:rsid w:val="00025128"/>
    <w:rsid w:val="00035935"/>
    <w:rsid w:val="000C0706"/>
    <w:rsid w:val="00206233"/>
    <w:rsid w:val="00216794"/>
    <w:rsid w:val="00220021"/>
    <w:rsid w:val="002961E0"/>
    <w:rsid w:val="00341599"/>
    <w:rsid w:val="00404C9B"/>
    <w:rsid w:val="00601A7F"/>
    <w:rsid w:val="00685853"/>
    <w:rsid w:val="00732C72"/>
    <w:rsid w:val="00775E6E"/>
    <w:rsid w:val="007E1A9E"/>
    <w:rsid w:val="00840A97"/>
    <w:rsid w:val="008A1AC8"/>
    <w:rsid w:val="00A45948"/>
    <w:rsid w:val="00AB3092"/>
    <w:rsid w:val="00B3720C"/>
    <w:rsid w:val="00B709F0"/>
    <w:rsid w:val="00BE7473"/>
    <w:rsid w:val="00C5537C"/>
    <w:rsid w:val="00C8566A"/>
    <w:rsid w:val="00CB07CD"/>
    <w:rsid w:val="00D54B08"/>
    <w:rsid w:val="00D62942"/>
    <w:rsid w:val="00E05C53"/>
    <w:rsid w:val="00F8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4DFF"/>
  <w15:docId w15:val="{EB5B1872-5EED-431F-843E-6BA45C56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33"/>
    <w:pPr>
      <w:spacing w:after="0" w:line="240" w:lineRule="auto"/>
    </w:pPr>
    <w:rPr>
      <w:rFonts w:ascii="Arial" w:eastAsia="Times New Roman" w:hAnsi="Arial" w:cs="Arial"/>
      <w:sz w:val="20"/>
      <w:szCs w:val="24"/>
      <w:lang w:val="en-GB"/>
    </w:rPr>
  </w:style>
  <w:style w:type="paragraph" w:styleId="Heading1">
    <w:name w:val="heading 1"/>
    <w:aliases w:val="Agt Head 1,MisHead1,Normalhead1,Heading,2,1,heading,Body,Text,Indent,heading15,rp_Heading 1,Section,h1,3,Heading 1.1,Heading 1.11,Heading1,21,Heading 1.12,Heading2,22,SECTION,Headings-Notes to detail. Income Statement,Level,COX1,Lev 1,LetHead1"/>
    <w:basedOn w:val="Normal"/>
    <w:next w:val="Normal"/>
    <w:link w:val="Heading1Char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rFonts w:cs="Times New Roman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aliases w:val="Agt Head 1 Char,MisHead1 Char,Normalhead1 Char,Heading Char,2 Char,1 Char,heading Char,Body Char,Text Char,Indent Char,heading15 Char,rp_Heading 1 Char,Section Char,h1 Char,3 Char,Heading 1.1 Char,Heading 1.11 Char,Heading1 Char,21 Char"/>
    <w:basedOn w:val="DefaultParagraphFont"/>
    <w:link w:val="Heading1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F8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86AC1"/>
    <w:pPr>
      <w:ind w:left="720"/>
      <w:contextualSpacing/>
    </w:pPr>
    <w:rPr>
      <w:rFonts w:eastAsia="Calibri" w:cs="Times New Roman"/>
      <w:sz w:val="18"/>
      <w:szCs w:val="22"/>
      <w:lang w:val="en-Z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86AC1"/>
    <w:rPr>
      <w:rFonts w:ascii="Arial" w:eastAsia="Calibri" w:hAnsi="Arial" w:cs="Times New Roman"/>
      <w:sz w:val="18"/>
      <w:lang w:val="en-ZA"/>
    </w:rPr>
  </w:style>
  <w:style w:type="paragraph" w:styleId="Footer">
    <w:name w:val="footer"/>
    <w:basedOn w:val="Normal"/>
    <w:link w:val="FooterChar"/>
    <w:uiPriority w:val="99"/>
    <w:rsid w:val="00404C9B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04C9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04C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C9B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9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4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9B"/>
    <w:rPr>
      <w:rFonts w:ascii="Times New Roman" w:hAnsi="Times New Roman" w:cs="Times New Roman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C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C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40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JSEUser</dc:creator>
  <cp:keywords/>
  <dc:description/>
  <cp:lastModifiedBy>Rosemary Mokoena</cp:lastModifiedBy>
  <cp:revision>3</cp:revision>
  <dcterms:created xsi:type="dcterms:W3CDTF">2022-06-10T08:50:00Z</dcterms:created>
  <dcterms:modified xsi:type="dcterms:W3CDTF">2022-06-10T08:50:00Z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d8a90e-c522-4829-9625-db8c70f8b095_Enabled">
    <vt:lpwstr>true</vt:lpwstr>
  </property>
  <property fmtid="{D5CDD505-2E9C-101B-9397-08002B2CF9AE}" pid="3" name="MSIP_Label_66d8a90e-c522-4829-9625-db8c70f8b095_SetDate">
    <vt:lpwstr>2022-06-10T08:06:54Z</vt:lpwstr>
  </property>
  <property fmtid="{D5CDD505-2E9C-101B-9397-08002B2CF9AE}" pid="4" name="MSIP_Label_66d8a90e-c522-4829-9625-db8c70f8b095_Method">
    <vt:lpwstr>Privileged</vt:lpwstr>
  </property>
  <property fmtid="{D5CDD505-2E9C-101B-9397-08002B2CF9AE}" pid="5" name="MSIP_Label_66d8a90e-c522-4829-9625-db8c70f8b095_Name">
    <vt:lpwstr>Public</vt:lpwstr>
  </property>
  <property fmtid="{D5CDD505-2E9C-101B-9397-08002B2CF9AE}" pid="6" name="MSIP_Label_66d8a90e-c522-4829-9625-db8c70f8b095_SiteId">
    <vt:lpwstr>cffa6640-7572-4f05-9c64-cd88068c19d4</vt:lpwstr>
  </property>
  <property fmtid="{D5CDD505-2E9C-101B-9397-08002B2CF9AE}" pid="7" name="MSIP_Label_66d8a90e-c522-4829-9625-db8c70f8b095_ActionId">
    <vt:lpwstr>07e39c3e-09cf-48d8-8ea1-344f374a650b</vt:lpwstr>
  </property>
  <property fmtid="{D5CDD505-2E9C-101B-9397-08002B2CF9AE}" pid="8" name="MSIP_Label_66d8a90e-c522-4829-9625-db8c70f8b095_ContentBits">
    <vt:lpwstr>0</vt:lpwstr>
  </property>
</Properties>
</file>